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B4" w:rsidRPr="00EA635C" w:rsidRDefault="001E5EB4" w:rsidP="001E5EB4">
      <w:pPr>
        <w:tabs>
          <w:tab w:val="left" w:pos="12972"/>
        </w:tabs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A635C">
        <w:rPr>
          <w:rFonts w:eastAsia="標楷體"/>
          <w:b/>
          <w:sz w:val="36"/>
          <w:szCs w:val="36"/>
        </w:rPr>
        <w:t>國軍高雄總醫院左營分院放射腫瘤科</w:t>
      </w:r>
    </w:p>
    <w:p w:rsidR="00365615" w:rsidRPr="006C03BA" w:rsidRDefault="00365615" w:rsidP="00365615">
      <w:pPr>
        <w:spacing w:after="165" w:line="259" w:lineRule="auto"/>
        <w:ind w:left="29"/>
        <w:rPr>
          <w:rFonts w:eastAsia="標楷體"/>
          <w:b/>
        </w:rPr>
      </w:pPr>
      <w:r w:rsidRPr="006C03BA">
        <w:rPr>
          <w:rFonts w:eastAsia="標楷體"/>
          <w:b/>
          <w:sz w:val="32"/>
        </w:rPr>
        <w:t>202</w:t>
      </w:r>
      <w:r w:rsidR="00F4347A">
        <w:rPr>
          <w:rFonts w:eastAsia="標楷體" w:hint="eastAsia"/>
          <w:b/>
          <w:sz w:val="32"/>
        </w:rPr>
        <w:t>3</w:t>
      </w:r>
      <w:r w:rsidRPr="006C03BA">
        <w:rPr>
          <w:rFonts w:eastAsia="標楷體"/>
          <w:b/>
          <w:sz w:val="32"/>
        </w:rPr>
        <w:t>年</w:t>
      </w:r>
      <w:r w:rsidR="00F4347A">
        <w:rPr>
          <w:rFonts w:eastAsia="標楷體" w:hint="eastAsia"/>
          <w:b/>
          <w:sz w:val="32"/>
        </w:rPr>
        <w:t>攝護腺</w:t>
      </w:r>
      <w:r w:rsidRPr="006C03BA">
        <w:rPr>
          <w:rFonts w:eastAsia="標楷體"/>
          <w:b/>
          <w:sz w:val="32"/>
        </w:rPr>
        <w:t>癌放射治療指引</w:t>
      </w:r>
    </w:p>
    <w:p w:rsidR="001C6F15" w:rsidRDefault="00365615" w:rsidP="00365615">
      <w:pPr>
        <w:spacing w:after="4" w:line="259" w:lineRule="auto"/>
        <w:ind w:left="24" w:hanging="10"/>
        <w:rPr>
          <w:rFonts w:eastAsia="標楷體"/>
          <w:b/>
          <w:sz w:val="28"/>
        </w:rPr>
      </w:pPr>
      <w:r w:rsidRPr="006C03BA">
        <w:rPr>
          <w:rFonts w:eastAsia="標楷體"/>
          <w:b/>
          <w:sz w:val="28"/>
        </w:rPr>
        <w:t>本版放射腫瘤科共識會議日期：</w:t>
      </w:r>
      <w:r w:rsidRPr="006C03BA">
        <w:rPr>
          <w:rFonts w:eastAsia="標楷體"/>
          <w:b/>
          <w:sz w:val="28"/>
        </w:rPr>
        <w:t>202</w:t>
      </w:r>
      <w:r w:rsidR="00F4347A">
        <w:rPr>
          <w:rFonts w:eastAsia="標楷體" w:hint="eastAsia"/>
          <w:b/>
          <w:sz w:val="28"/>
        </w:rPr>
        <w:t>3</w:t>
      </w:r>
      <w:r w:rsidRPr="006C03BA">
        <w:rPr>
          <w:rFonts w:eastAsia="標楷體"/>
          <w:b/>
          <w:sz w:val="28"/>
        </w:rPr>
        <w:t>年</w:t>
      </w:r>
      <w:r w:rsidR="00F4347A">
        <w:rPr>
          <w:rFonts w:eastAsia="標楷體" w:hint="eastAsia"/>
          <w:b/>
          <w:sz w:val="28"/>
        </w:rPr>
        <w:t>6</w:t>
      </w:r>
      <w:r w:rsidRPr="006C03BA">
        <w:rPr>
          <w:rFonts w:eastAsia="標楷體"/>
          <w:b/>
          <w:sz w:val="28"/>
        </w:rPr>
        <w:t>月</w:t>
      </w:r>
      <w:r w:rsidR="00F4347A">
        <w:rPr>
          <w:rFonts w:eastAsia="標楷體" w:hint="eastAsia"/>
          <w:b/>
          <w:sz w:val="28"/>
        </w:rPr>
        <w:t>15</w:t>
      </w:r>
      <w:r w:rsidRPr="006C03BA">
        <w:rPr>
          <w:rFonts w:eastAsia="標楷體"/>
          <w:b/>
          <w:sz w:val="28"/>
        </w:rPr>
        <w:t>日</w:t>
      </w:r>
      <w:r w:rsidR="001C6F15" w:rsidRPr="00575481">
        <w:rPr>
          <w:rFonts w:eastAsia="標楷體"/>
          <w:b/>
          <w:sz w:val="28"/>
          <w:szCs w:val="28"/>
        </w:rPr>
        <w:t>(</w:t>
      </w:r>
      <w:r w:rsidR="001C6F15" w:rsidRPr="00575481">
        <w:rPr>
          <w:rFonts w:eastAsia="標楷體" w:hAnsi="標楷體"/>
          <w:b/>
          <w:sz w:val="28"/>
          <w:szCs w:val="28"/>
        </w:rPr>
        <w:t>與國軍高雄總醫院放射腫瘤科崔樂平主任</w:t>
      </w:r>
      <w:r w:rsidR="001C6F15" w:rsidRPr="00575481">
        <w:rPr>
          <w:rFonts w:eastAsia="標楷體"/>
          <w:b/>
          <w:sz w:val="28"/>
          <w:szCs w:val="28"/>
        </w:rPr>
        <w:t>)</w:t>
      </w:r>
      <w:r w:rsidRPr="006C03BA">
        <w:rPr>
          <w:rFonts w:eastAsia="標楷體"/>
          <w:b/>
          <w:sz w:val="28"/>
        </w:rPr>
        <w:t>，</w:t>
      </w:r>
    </w:p>
    <w:p w:rsidR="006C03BA" w:rsidRPr="001C6F15" w:rsidRDefault="00365615" w:rsidP="001C6F15">
      <w:pPr>
        <w:spacing w:after="4" w:line="259" w:lineRule="auto"/>
        <w:ind w:left="24" w:hanging="10"/>
        <w:rPr>
          <w:rFonts w:eastAsia="標楷體"/>
          <w:b/>
          <w:sz w:val="28"/>
          <w:szCs w:val="28"/>
        </w:rPr>
      </w:pPr>
      <w:r w:rsidRPr="006C03BA">
        <w:rPr>
          <w:rFonts w:eastAsia="標楷體"/>
          <w:b/>
          <w:sz w:val="28"/>
        </w:rPr>
        <w:t>本版定案日期：</w:t>
      </w:r>
      <w:r w:rsidR="00F4347A" w:rsidRPr="006C03BA">
        <w:rPr>
          <w:rFonts w:eastAsia="標楷體"/>
          <w:b/>
          <w:sz w:val="28"/>
        </w:rPr>
        <w:t>202</w:t>
      </w:r>
      <w:r w:rsidR="00F4347A">
        <w:rPr>
          <w:rFonts w:eastAsia="標楷體" w:hint="eastAsia"/>
          <w:b/>
          <w:sz w:val="28"/>
        </w:rPr>
        <w:t>3</w:t>
      </w:r>
      <w:r w:rsidR="00F4347A" w:rsidRPr="006C03BA">
        <w:rPr>
          <w:rFonts w:eastAsia="標楷體"/>
          <w:b/>
          <w:sz w:val="28"/>
        </w:rPr>
        <w:t>年</w:t>
      </w:r>
      <w:r w:rsidR="00F4347A">
        <w:rPr>
          <w:rFonts w:eastAsia="標楷體" w:hint="eastAsia"/>
          <w:b/>
          <w:sz w:val="28"/>
        </w:rPr>
        <w:t>6</w:t>
      </w:r>
      <w:r w:rsidR="00F4347A" w:rsidRPr="006C03BA">
        <w:rPr>
          <w:rFonts w:eastAsia="標楷體"/>
          <w:b/>
          <w:sz w:val="28"/>
        </w:rPr>
        <w:t>月</w:t>
      </w:r>
      <w:r w:rsidR="00F4347A">
        <w:rPr>
          <w:rFonts w:eastAsia="標楷體" w:hint="eastAsia"/>
          <w:b/>
          <w:sz w:val="28"/>
        </w:rPr>
        <w:t>15</w:t>
      </w:r>
      <w:r w:rsidRPr="006C03BA">
        <w:rPr>
          <w:rFonts w:eastAsia="標楷體"/>
          <w:b/>
          <w:sz w:val="28"/>
        </w:rPr>
        <w:t>日</w:t>
      </w:r>
      <w:r w:rsidR="00F4347A">
        <w:rPr>
          <w:rFonts w:eastAsia="標楷體" w:hint="eastAsia"/>
          <w:b/>
          <w:sz w:val="28"/>
        </w:rPr>
        <w:t>。</w:t>
      </w:r>
    </w:p>
    <w:p w:rsidR="00365615" w:rsidRPr="006C03BA" w:rsidRDefault="00365615" w:rsidP="00365615">
      <w:pPr>
        <w:pStyle w:val="1"/>
        <w:ind w:left="24"/>
        <w:rPr>
          <w:rFonts w:ascii="Times New Roman" w:eastAsia="標楷體" w:hAnsi="Times New Roman"/>
          <w:sz w:val="32"/>
          <w:szCs w:val="32"/>
        </w:rPr>
      </w:pPr>
      <w:r w:rsidRPr="006C03BA">
        <w:rPr>
          <w:rFonts w:ascii="Times New Roman" w:eastAsia="標楷體"/>
          <w:sz w:val="32"/>
          <w:szCs w:val="32"/>
        </w:rPr>
        <w:t>此修訂版腫瘤分期根據</w:t>
      </w:r>
      <w:r w:rsidRPr="006C03BA">
        <w:rPr>
          <w:rFonts w:ascii="Times New Roman" w:eastAsia="標楷體" w:hAnsi="Times New Roman"/>
          <w:sz w:val="32"/>
          <w:szCs w:val="32"/>
        </w:rPr>
        <w:t xml:space="preserve">2018 International Federation of Gynecology and Obstetrics (FIGO) </w:t>
      </w:r>
      <w:r w:rsidRPr="006C03BA">
        <w:rPr>
          <w:rFonts w:ascii="Times New Roman" w:eastAsia="標楷體"/>
          <w:sz w:val="32"/>
          <w:szCs w:val="32"/>
        </w:rPr>
        <w:t>分期系統</w:t>
      </w:r>
    </w:p>
    <w:p w:rsidR="00365615" w:rsidRPr="006E0775" w:rsidRDefault="00365615" w:rsidP="00365615">
      <w:pPr>
        <w:spacing w:after="32" w:line="259" w:lineRule="auto"/>
        <w:ind w:left="29"/>
        <w:rPr>
          <w:rFonts w:eastAsia="標楷體"/>
        </w:rPr>
      </w:pPr>
    </w:p>
    <w:p w:rsidR="00365615" w:rsidRPr="006E0775" w:rsidRDefault="00F4347A" w:rsidP="00365615">
      <w:pPr>
        <w:spacing w:line="271" w:lineRule="auto"/>
        <w:ind w:left="39" w:right="78" w:hanging="10"/>
        <w:rPr>
          <w:rFonts w:eastAsia="標楷體"/>
        </w:rPr>
      </w:pPr>
      <w:r>
        <w:rPr>
          <w:rFonts w:eastAsia="標楷體" w:hint="eastAsia"/>
          <w:sz w:val="26"/>
        </w:rPr>
        <w:t>攝護腺</w:t>
      </w:r>
      <w:r w:rsidR="00365615" w:rsidRPr="006E0775">
        <w:rPr>
          <w:rFonts w:eastAsia="標楷體"/>
          <w:sz w:val="26"/>
        </w:rPr>
        <w:t>癌放射治療指引與監測修正對照表</w:t>
      </w:r>
    </w:p>
    <w:tbl>
      <w:tblPr>
        <w:tblStyle w:val="TableGrid"/>
        <w:tblW w:w="14091" w:type="dxa"/>
        <w:tblInd w:w="34" w:type="dxa"/>
        <w:tblCellMar>
          <w:top w:w="83" w:type="dxa"/>
          <w:left w:w="91" w:type="dxa"/>
          <w:right w:w="70" w:type="dxa"/>
        </w:tblCellMar>
        <w:tblLook w:val="04A0"/>
      </w:tblPr>
      <w:tblGrid>
        <w:gridCol w:w="6436"/>
        <w:gridCol w:w="6237"/>
        <w:gridCol w:w="1418"/>
      </w:tblGrid>
      <w:tr w:rsidR="00365615" w:rsidRPr="003844FB" w:rsidTr="0055396D">
        <w:trPr>
          <w:trHeight w:val="370"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15" w:rsidRPr="003844FB" w:rsidRDefault="00365615" w:rsidP="00F4347A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3844FB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F4347A">
              <w:rPr>
                <w:rFonts w:ascii="Times New Roman" w:eastAsia="標楷體" w:hAnsi="Times New Roman" w:cs="Times New Roman" w:hint="eastAsia"/>
                <w:sz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15" w:rsidRPr="003844FB" w:rsidRDefault="00365615" w:rsidP="00F4347A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3844FB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F4347A">
              <w:rPr>
                <w:rFonts w:ascii="Times New Roman" w:eastAsia="標楷體" w:hAnsi="Times New Roman" w:cs="Times New Roman" w:hint="eastAsia"/>
                <w:sz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15" w:rsidRPr="003844FB" w:rsidRDefault="00365615" w:rsidP="00C639F3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3844FB">
              <w:rPr>
                <w:rFonts w:ascii="Times New Roman" w:eastAsia="標楷體" w:hAnsi="Times New Roman" w:cs="Times New Roman"/>
                <w:sz w:val="26"/>
              </w:rPr>
              <w:t>說明</w:t>
            </w:r>
          </w:p>
        </w:tc>
      </w:tr>
      <w:tr w:rsidR="00365615" w:rsidRPr="003844FB" w:rsidTr="0055396D">
        <w:trPr>
          <w:trHeight w:val="370"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15" w:rsidRPr="003844FB" w:rsidRDefault="00F4347A" w:rsidP="00C639F3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新修訂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15" w:rsidRPr="003844FB" w:rsidRDefault="00365615" w:rsidP="00C639F3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15" w:rsidRPr="003844FB" w:rsidRDefault="001C6F15" w:rsidP="00C639F3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新</w:t>
            </w:r>
            <w:r w:rsidR="00365615" w:rsidRPr="003844FB">
              <w:rPr>
                <w:rFonts w:ascii="Times New Roman" w:eastAsia="標楷體" w:hAnsi="Times New Roman" w:cs="Times New Roman"/>
                <w:sz w:val="26"/>
              </w:rPr>
              <w:t>訂</w:t>
            </w:r>
          </w:p>
        </w:tc>
      </w:tr>
    </w:tbl>
    <w:p w:rsidR="00365615" w:rsidRDefault="00365615" w:rsidP="00365615">
      <w:pPr>
        <w:spacing w:line="259" w:lineRule="auto"/>
        <w:ind w:left="29"/>
        <w:rPr>
          <w:rFonts w:eastAsia="標楷體"/>
        </w:rPr>
      </w:pPr>
    </w:p>
    <w:p w:rsidR="004E585F" w:rsidRDefault="004E585F" w:rsidP="00365615">
      <w:pPr>
        <w:spacing w:line="259" w:lineRule="auto"/>
        <w:ind w:left="29"/>
        <w:rPr>
          <w:rFonts w:eastAsia="標楷體"/>
        </w:rPr>
      </w:pPr>
    </w:p>
    <w:p w:rsidR="004E585F" w:rsidRDefault="004E585F" w:rsidP="00365615">
      <w:pPr>
        <w:spacing w:line="259" w:lineRule="auto"/>
        <w:ind w:left="29"/>
        <w:rPr>
          <w:rFonts w:eastAsia="標楷體"/>
        </w:rPr>
      </w:pPr>
    </w:p>
    <w:p w:rsidR="004E585F" w:rsidRDefault="004E585F" w:rsidP="00365615">
      <w:pPr>
        <w:spacing w:line="259" w:lineRule="auto"/>
        <w:ind w:left="29"/>
        <w:rPr>
          <w:rFonts w:eastAsia="標楷體"/>
        </w:rPr>
      </w:pPr>
    </w:p>
    <w:p w:rsidR="004E585F" w:rsidRDefault="004E585F" w:rsidP="00365615">
      <w:pPr>
        <w:spacing w:line="259" w:lineRule="auto"/>
        <w:ind w:left="29"/>
        <w:rPr>
          <w:rFonts w:eastAsia="標楷體"/>
        </w:rPr>
      </w:pPr>
    </w:p>
    <w:p w:rsidR="00F4347A" w:rsidRPr="00EC477E" w:rsidRDefault="00F4347A" w:rsidP="00F4347A">
      <w:pPr>
        <w:pStyle w:val="10"/>
      </w:pPr>
      <w:r w:rsidRPr="00EC477E">
        <w:t>放射治療適應症</w:t>
      </w:r>
    </w:p>
    <w:p w:rsidR="00F4347A" w:rsidRPr="00EC477E" w:rsidRDefault="00F4347A" w:rsidP="00F4347A">
      <w:pPr>
        <w:tabs>
          <w:tab w:val="left" w:pos="540"/>
          <w:tab w:val="num" w:pos="567"/>
        </w:tabs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lastRenderedPageBreak/>
        <w:t>一</w:t>
      </w:r>
      <w:r w:rsidRPr="00EC477E">
        <w:rPr>
          <w:rFonts w:ascii="標楷體" w:eastAsia="標楷體" w:hAnsi="標楷體" w:hint="eastAsia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根治性目的</w:t>
      </w:r>
      <w:r w:rsidRPr="00EC477E">
        <w:rPr>
          <w:rFonts w:eastAsia="標楷體"/>
          <w:sz w:val="26"/>
          <w:szCs w:val="26"/>
        </w:rPr>
        <w:t>(Curative Intent):</w:t>
      </w:r>
    </w:p>
    <w:p w:rsidR="00F4347A" w:rsidRPr="00EC477E" w:rsidRDefault="00F4347A" w:rsidP="00F4347A">
      <w:pPr>
        <w:tabs>
          <w:tab w:val="left" w:pos="567"/>
          <w:tab w:val="left" w:pos="709"/>
        </w:tabs>
        <w:ind w:leftChars="50" w:left="120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1. </w:t>
      </w:r>
      <w:r w:rsidRPr="00EC477E">
        <w:rPr>
          <w:rFonts w:eastAsia="標楷體"/>
          <w:sz w:val="26"/>
          <w:szCs w:val="26"/>
        </w:rPr>
        <w:t>無手術之根治性之放射治療</w:t>
      </w:r>
      <w:r w:rsidRPr="00EC477E">
        <w:rPr>
          <w:rFonts w:eastAsia="標楷體"/>
          <w:sz w:val="26"/>
          <w:szCs w:val="26"/>
        </w:rPr>
        <w:t>(Definitive RT)</w:t>
      </w:r>
    </w:p>
    <w:p w:rsidR="00F4347A" w:rsidRPr="00EC477E" w:rsidRDefault="00F4347A" w:rsidP="00F4347A">
      <w:pPr>
        <w:tabs>
          <w:tab w:val="left" w:pos="12972"/>
        </w:tabs>
        <w:ind w:firstLineChars="328" w:firstLine="853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依臨床復發風險分期為</w:t>
      </w:r>
      <w:r w:rsidRPr="00EC477E">
        <w:rPr>
          <w:rFonts w:eastAsia="標楷體"/>
          <w:sz w:val="26"/>
          <w:szCs w:val="26"/>
        </w:rPr>
        <w:t>:Very low, low, intermediate, high, very high</w:t>
      </w:r>
      <w:r w:rsidRPr="00EC477E">
        <w:rPr>
          <w:rFonts w:eastAsia="標楷體"/>
          <w:sz w:val="26"/>
          <w:szCs w:val="26"/>
        </w:rPr>
        <w:t>及</w:t>
      </w:r>
      <w:r w:rsidRPr="00EC477E">
        <w:rPr>
          <w:rFonts w:eastAsia="標楷體"/>
          <w:sz w:val="26"/>
          <w:szCs w:val="26"/>
        </w:rPr>
        <w:t xml:space="preserve"> N1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851"/>
        </w:tabs>
        <w:ind w:left="510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2. </w:t>
      </w:r>
      <w:r w:rsidRPr="00EC477E">
        <w:rPr>
          <w:rFonts w:eastAsia="標楷體"/>
          <w:sz w:val="26"/>
          <w:szCs w:val="26"/>
        </w:rPr>
        <w:t>手術後之輔助性放射治療</w:t>
      </w:r>
      <w:r w:rsidRPr="00EC477E">
        <w:rPr>
          <w:rFonts w:eastAsia="標楷體"/>
          <w:sz w:val="26"/>
          <w:szCs w:val="26"/>
        </w:rPr>
        <w:t>(Adjuvant RT)</w:t>
      </w:r>
    </w:p>
    <w:p w:rsidR="00F4347A" w:rsidRPr="00EC477E" w:rsidRDefault="00F4347A" w:rsidP="00F4347A">
      <w:pPr>
        <w:tabs>
          <w:tab w:val="left" w:pos="12972"/>
        </w:tabs>
        <w:ind w:firstLineChars="328" w:firstLine="853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若根除性手術後仍有以下對預後不良的因子時：</w:t>
      </w:r>
    </w:p>
    <w:p w:rsidR="00F4347A" w:rsidRPr="00EC477E" w:rsidRDefault="00F4347A" w:rsidP="00F4347A">
      <w:pPr>
        <w:tabs>
          <w:tab w:val="left" w:pos="900"/>
          <w:tab w:val="left" w:pos="1134"/>
        </w:tabs>
        <w:ind w:left="851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A. </w:t>
      </w:r>
      <w:r w:rsidRPr="00EC477E">
        <w:rPr>
          <w:rFonts w:eastAsia="標楷體"/>
          <w:sz w:val="26"/>
          <w:szCs w:val="26"/>
        </w:rPr>
        <w:t>手術切除邊緣陽性或接近</w:t>
      </w:r>
      <w:r w:rsidRPr="00EC477E">
        <w:rPr>
          <w:rFonts w:eastAsia="標楷體"/>
          <w:sz w:val="26"/>
          <w:szCs w:val="26"/>
        </w:rPr>
        <w:t>(positive or close margin)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900"/>
          <w:tab w:val="left" w:pos="1134"/>
        </w:tabs>
        <w:ind w:leftChars="20" w:left="48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      B. </w:t>
      </w:r>
      <w:r w:rsidRPr="00EC477E">
        <w:rPr>
          <w:rFonts w:eastAsia="標楷體"/>
          <w:sz w:val="26"/>
          <w:szCs w:val="26"/>
        </w:rPr>
        <w:t>葛里森分數</w:t>
      </w:r>
      <w:r w:rsidRPr="00EC477E">
        <w:rPr>
          <w:rFonts w:eastAsia="標楷體"/>
          <w:sz w:val="26"/>
          <w:szCs w:val="26"/>
        </w:rPr>
        <w:t>8-10 (Gleason score = 8-10)</w:t>
      </w:r>
    </w:p>
    <w:p w:rsidR="00F4347A" w:rsidRPr="00EC477E" w:rsidRDefault="00F4347A" w:rsidP="00F4347A">
      <w:pPr>
        <w:tabs>
          <w:tab w:val="left" w:pos="900"/>
          <w:tab w:val="left" w:pos="1134"/>
        </w:tabs>
        <w:ind w:leftChars="20" w:left="48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      C. </w:t>
      </w:r>
      <w:r w:rsidRPr="00EC477E">
        <w:rPr>
          <w:rFonts w:eastAsia="標楷體"/>
          <w:sz w:val="26"/>
          <w:szCs w:val="26"/>
        </w:rPr>
        <w:t>淋巴結轉移成陽性反應</w:t>
      </w:r>
      <w:r w:rsidRPr="00EC477E">
        <w:rPr>
          <w:rFonts w:eastAsia="標楷體"/>
          <w:sz w:val="26"/>
          <w:szCs w:val="26"/>
        </w:rPr>
        <w:t>(positive LN metastasis, N1)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1134"/>
        </w:tabs>
        <w:ind w:left="851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D. </w:t>
      </w:r>
      <w:r w:rsidRPr="00EC477E">
        <w:rPr>
          <w:rFonts w:eastAsia="標楷體"/>
          <w:sz w:val="26"/>
          <w:szCs w:val="26"/>
        </w:rPr>
        <w:t>PSA</w:t>
      </w:r>
      <w:r w:rsidRPr="00EC477E">
        <w:rPr>
          <w:rFonts w:eastAsia="標楷體"/>
          <w:sz w:val="26"/>
          <w:szCs w:val="26"/>
        </w:rPr>
        <w:t>仍可偵測到</w:t>
      </w:r>
      <w:r w:rsidRPr="00EC477E">
        <w:rPr>
          <w:rFonts w:eastAsia="標楷體"/>
          <w:sz w:val="26"/>
          <w:szCs w:val="26"/>
        </w:rPr>
        <w:t>(detectable PSA)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900"/>
          <w:tab w:val="left" w:pos="1134"/>
        </w:tabs>
        <w:ind w:leftChars="-30" w:left="35" w:hangingChars="41" w:hanging="107"/>
        <w:rPr>
          <w:rFonts w:eastAsia="標楷體"/>
          <w:sz w:val="26"/>
          <w:szCs w:val="26"/>
          <w:lang w:val="fr-FR"/>
        </w:rPr>
      </w:pPr>
      <w:r w:rsidRPr="00EC477E">
        <w:rPr>
          <w:rFonts w:eastAsia="標楷體" w:hint="eastAsia"/>
          <w:sz w:val="26"/>
          <w:szCs w:val="26"/>
        </w:rPr>
        <w:t xml:space="preserve">       E. </w:t>
      </w:r>
      <w:r w:rsidRPr="00EC477E">
        <w:rPr>
          <w:rFonts w:eastAsia="標楷體"/>
          <w:sz w:val="26"/>
          <w:szCs w:val="26"/>
        </w:rPr>
        <w:t>包膜外延伸</w:t>
      </w:r>
      <w:r w:rsidRPr="00EC477E">
        <w:rPr>
          <w:rFonts w:eastAsia="標楷體"/>
          <w:sz w:val="26"/>
          <w:szCs w:val="26"/>
          <w:lang w:val="fr-FR"/>
        </w:rPr>
        <w:t>(extracapsular extension, T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EC477E">
          <w:rPr>
            <w:rFonts w:eastAsia="標楷體"/>
            <w:sz w:val="26"/>
            <w:szCs w:val="26"/>
            <w:lang w:val="fr-FR"/>
          </w:rPr>
          <w:t>3a</w:t>
        </w:r>
      </w:smartTag>
      <w:r w:rsidRPr="00EC477E">
        <w:rPr>
          <w:rFonts w:eastAsia="標楷體"/>
          <w:sz w:val="26"/>
          <w:szCs w:val="26"/>
          <w:lang w:val="fr-FR"/>
        </w:rPr>
        <w:t>)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900"/>
          <w:tab w:val="left" w:pos="1134"/>
        </w:tabs>
        <w:ind w:left="851"/>
        <w:rPr>
          <w:rFonts w:eastAsia="標楷體"/>
          <w:sz w:val="26"/>
          <w:szCs w:val="26"/>
          <w:lang w:val="fr-FR"/>
        </w:rPr>
      </w:pPr>
      <w:r w:rsidRPr="00EC477E">
        <w:rPr>
          <w:rFonts w:eastAsia="標楷體" w:hint="eastAsia"/>
          <w:sz w:val="26"/>
          <w:szCs w:val="26"/>
          <w:lang w:val="fr-FR"/>
        </w:rPr>
        <w:t xml:space="preserve">F. </w:t>
      </w:r>
      <w:r w:rsidRPr="00EC477E">
        <w:rPr>
          <w:rFonts w:eastAsia="標楷體"/>
          <w:sz w:val="26"/>
          <w:szCs w:val="26"/>
        </w:rPr>
        <w:t>儲精囊侵犯</w:t>
      </w:r>
      <w:r w:rsidRPr="00EC477E">
        <w:rPr>
          <w:rFonts w:eastAsia="標楷體"/>
          <w:sz w:val="26"/>
          <w:szCs w:val="26"/>
          <w:lang w:val="fr-FR"/>
        </w:rPr>
        <w:t xml:space="preserve">(seminal vesicle invasion, T3b) 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ind w:left="510"/>
        <w:rPr>
          <w:rFonts w:eastAsia="標楷體"/>
          <w:sz w:val="26"/>
          <w:szCs w:val="26"/>
          <w:lang w:val="fr-FR"/>
        </w:rPr>
      </w:pPr>
      <w:r w:rsidRPr="00EC477E">
        <w:rPr>
          <w:rFonts w:eastAsia="標楷體" w:hint="eastAsia"/>
          <w:sz w:val="26"/>
          <w:szCs w:val="26"/>
          <w:lang w:val="fr-FR"/>
        </w:rPr>
        <w:t xml:space="preserve">3. </w:t>
      </w:r>
      <w:r w:rsidRPr="00EC477E">
        <w:rPr>
          <w:rFonts w:eastAsia="標楷體"/>
          <w:sz w:val="26"/>
          <w:szCs w:val="26"/>
        </w:rPr>
        <w:t>手術後之救助性放射治療</w:t>
      </w:r>
      <w:r w:rsidRPr="00EC477E">
        <w:rPr>
          <w:rFonts w:eastAsia="標楷體"/>
          <w:sz w:val="26"/>
          <w:szCs w:val="26"/>
          <w:lang w:val="fr-FR"/>
        </w:rPr>
        <w:t>(Salvage RT)</w:t>
      </w:r>
    </w:p>
    <w:p w:rsidR="00F4347A" w:rsidRPr="00EC477E" w:rsidRDefault="00F4347A" w:rsidP="00F4347A">
      <w:pPr>
        <w:tabs>
          <w:tab w:val="left" w:pos="12972"/>
        </w:tabs>
        <w:ind w:firstLineChars="328" w:firstLine="853"/>
        <w:rPr>
          <w:rFonts w:eastAsia="標楷體"/>
          <w:sz w:val="26"/>
          <w:szCs w:val="26"/>
          <w:lang w:val="fr-FR"/>
        </w:rPr>
      </w:pPr>
      <w:r w:rsidRPr="00EC477E">
        <w:rPr>
          <w:rFonts w:eastAsia="標楷體"/>
          <w:sz w:val="26"/>
          <w:szCs w:val="26"/>
        </w:rPr>
        <w:t>若根除性手術後出現以下情形時</w:t>
      </w:r>
      <w:r w:rsidRPr="00EC477E">
        <w:rPr>
          <w:rFonts w:eastAsia="標楷體"/>
          <w:sz w:val="26"/>
          <w:szCs w:val="26"/>
          <w:lang w:val="fr-FR"/>
        </w:rPr>
        <w:t>：</w:t>
      </w:r>
    </w:p>
    <w:p w:rsidR="00F4347A" w:rsidRPr="00EC477E" w:rsidRDefault="00F4347A" w:rsidP="00F4347A">
      <w:pPr>
        <w:tabs>
          <w:tab w:val="left" w:pos="993"/>
          <w:tab w:val="left" w:pos="1134"/>
        </w:tabs>
        <w:ind w:leftChars="30" w:left="72"/>
        <w:rPr>
          <w:rFonts w:eastAsia="標楷體"/>
          <w:sz w:val="26"/>
          <w:szCs w:val="26"/>
          <w:lang w:val="fr-FR"/>
        </w:rPr>
      </w:pPr>
      <w:r w:rsidRPr="00EC477E">
        <w:rPr>
          <w:rFonts w:eastAsia="標楷體" w:hint="eastAsia"/>
          <w:sz w:val="26"/>
          <w:szCs w:val="26"/>
          <w:lang w:val="fr-FR"/>
        </w:rPr>
        <w:t xml:space="preserve">      A. </w:t>
      </w:r>
      <w:r w:rsidRPr="00EC477E">
        <w:rPr>
          <w:rFonts w:eastAsia="標楷體"/>
          <w:sz w:val="26"/>
          <w:szCs w:val="26"/>
        </w:rPr>
        <w:t>腫瘤復發</w:t>
      </w:r>
      <w:r w:rsidRPr="00EC477E">
        <w:rPr>
          <w:rFonts w:eastAsia="標楷體"/>
          <w:sz w:val="26"/>
          <w:szCs w:val="26"/>
          <w:lang w:val="fr-FR"/>
        </w:rPr>
        <w:t xml:space="preserve">(recurrence) 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1134"/>
        </w:tabs>
        <w:ind w:leftChars="30" w:left="72"/>
        <w:rPr>
          <w:rFonts w:eastAsia="標楷體"/>
          <w:sz w:val="26"/>
          <w:szCs w:val="26"/>
          <w:lang w:val="fr-FR"/>
        </w:rPr>
      </w:pPr>
      <w:r w:rsidRPr="00EC477E">
        <w:rPr>
          <w:rFonts w:eastAsia="標楷體" w:hint="eastAsia"/>
          <w:sz w:val="26"/>
          <w:szCs w:val="26"/>
          <w:lang w:val="fr-FR"/>
        </w:rPr>
        <w:t xml:space="preserve">      B. </w:t>
      </w:r>
      <w:r w:rsidRPr="00EC477E">
        <w:rPr>
          <w:rFonts w:eastAsia="標楷體"/>
          <w:sz w:val="26"/>
          <w:szCs w:val="26"/>
        </w:rPr>
        <w:t>術後</w:t>
      </w:r>
      <w:r w:rsidRPr="00EC477E">
        <w:rPr>
          <w:rFonts w:eastAsia="標楷體"/>
          <w:sz w:val="26"/>
          <w:szCs w:val="26"/>
          <w:lang w:val="fr-FR"/>
        </w:rPr>
        <w:t>PSA</w:t>
      </w:r>
      <w:r w:rsidRPr="00EC477E">
        <w:rPr>
          <w:rFonts w:eastAsia="標楷體"/>
          <w:sz w:val="26"/>
          <w:szCs w:val="26"/>
        </w:rPr>
        <w:t>升高超過</w:t>
      </w:r>
      <w:r w:rsidRPr="00EC477E">
        <w:rPr>
          <w:rFonts w:eastAsia="標楷體"/>
          <w:sz w:val="26"/>
          <w:szCs w:val="26"/>
          <w:lang w:val="fr-FR"/>
        </w:rPr>
        <w:t>0.2ng/ml</w:t>
      </w:r>
      <w:r w:rsidRPr="00EC477E">
        <w:rPr>
          <w:rFonts w:eastAsia="標楷體"/>
          <w:sz w:val="26"/>
          <w:szCs w:val="26"/>
        </w:rPr>
        <w:t>或連續至少兩次上升定義</w:t>
      </w:r>
      <w:r w:rsidRPr="00EC477E">
        <w:rPr>
          <w:rFonts w:eastAsia="標楷體"/>
          <w:sz w:val="26"/>
          <w:szCs w:val="26"/>
          <w:lang w:val="fr-FR"/>
        </w:rPr>
        <w:t xml:space="preserve">Biochemical failure 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540"/>
          <w:tab w:val="num" w:pos="720"/>
        </w:tabs>
        <w:rPr>
          <w:rFonts w:eastAsia="標楷體"/>
          <w:sz w:val="26"/>
          <w:szCs w:val="26"/>
          <w:lang w:val="fr-FR"/>
        </w:rPr>
      </w:pPr>
      <w:r w:rsidRPr="00EC477E">
        <w:rPr>
          <w:rFonts w:eastAsia="標楷體" w:hint="eastAsia"/>
          <w:sz w:val="26"/>
          <w:szCs w:val="26"/>
        </w:rPr>
        <w:t>二</w:t>
      </w:r>
      <w:r w:rsidRPr="00EC477E">
        <w:rPr>
          <w:rFonts w:ascii="標楷體" w:eastAsia="標楷體" w:hAnsi="標楷體" w:hint="eastAsia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緩解性目的</w:t>
      </w:r>
      <w:r w:rsidRPr="00EC477E">
        <w:rPr>
          <w:rFonts w:eastAsia="標楷體"/>
          <w:sz w:val="26"/>
          <w:szCs w:val="26"/>
          <w:lang w:val="fr-FR"/>
        </w:rPr>
        <w:t>(Palliative Intent):</w:t>
      </w:r>
    </w:p>
    <w:p w:rsidR="00F4347A" w:rsidRPr="00EC477E" w:rsidRDefault="00F4347A" w:rsidP="00F4347A">
      <w:pPr>
        <w:tabs>
          <w:tab w:val="left" w:pos="12972"/>
        </w:tabs>
        <w:rPr>
          <w:rFonts w:eastAsia="標楷體"/>
          <w:sz w:val="26"/>
          <w:szCs w:val="26"/>
          <w:lang w:val="fr-FR"/>
        </w:rPr>
      </w:pPr>
      <w:r w:rsidRPr="00EC477E">
        <w:rPr>
          <w:rFonts w:eastAsia="標楷體" w:hint="eastAsia"/>
          <w:sz w:val="26"/>
          <w:szCs w:val="26"/>
          <w:lang w:val="fr-FR"/>
        </w:rPr>
        <w:t xml:space="preserve">    1. </w:t>
      </w:r>
      <w:r w:rsidRPr="00EC477E">
        <w:rPr>
          <w:rFonts w:eastAsia="標楷體"/>
          <w:sz w:val="26"/>
          <w:szCs w:val="26"/>
        </w:rPr>
        <w:t>合併有遠端轉移並造成不適時</w:t>
      </w:r>
      <w:r w:rsidRPr="00EC477E">
        <w:rPr>
          <w:rFonts w:eastAsia="標楷體"/>
          <w:sz w:val="26"/>
          <w:szCs w:val="26"/>
          <w:lang w:val="fr-FR"/>
        </w:rPr>
        <w:t>，</w:t>
      </w:r>
      <w:r w:rsidRPr="00EC477E">
        <w:rPr>
          <w:rFonts w:eastAsia="標楷體"/>
          <w:sz w:val="26"/>
          <w:szCs w:val="26"/>
        </w:rPr>
        <w:t>例如</w:t>
      </w:r>
      <w:r w:rsidRPr="00EC477E">
        <w:rPr>
          <w:rFonts w:eastAsia="標楷體"/>
          <w:sz w:val="26"/>
          <w:szCs w:val="26"/>
          <w:lang w:val="fr-FR"/>
        </w:rPr>
        <w:t>:</w:t>
      </w:r>
      <w:r w:rsidRPr="00EC477E">
        <w:rPr>
          <w:rFonts w:eastAsia="標楷體"/>
          <w:sz w:val="26"/>
          <w:szCs w:val="26"/>
        </w:rPr>
        <w:t>骨轉移造成疼痛。</w:t>
      </w:r>
    </w:p>
    <w:p w:rsidR="00F4347A" w:rsidRPr="00EC477E" w:rsidRDefault="00F4347A" w:rsidP="00F4347A">
      <w:pPr>
        <w:tabs>
          <w:tab w:val="left" w:pos="12972"/>
        </w:tabs>
        <w:ind w:left="876"/>
        <w:rPr>
          <w:rFonts w:eastAsia="標楷體"/>
          <w:sz w:val="26"/>
          <w:szCs w:val="26"/>
          <w:lang w:val="fr-FR"/>
        </w:rPr>
      </w:pPr>
    </w:p>
    <w:p w:rsidR="00F4347A" w:rsidRPr="00EC477E" w:rsidRDefault="00F4347A" w:rsidP="00F4347A">
      <w:pPr>
        <w:rPr>
          <w:rFonts w:eastAsia="標楷體"/>
          <w:b/>
          <w:bCs/>
          <w:sz w:val="28"/>
        </w:rPr>
      </w:pPr>
      <w:r w:rsidRPr="00EC477E">
        <w:rPr>
          <w:rFonts w:eastAsia="標楷體"/>
          <w:b/>
          <w:bCs/>
          <w:sz w:val="28"/>
        </w:rPr>
        <w:t>根治性放射治療必要流程</w:t>
      </w:r>
    </w:p>
    <w:p w:rsidR="00F4347A" w:rsidRPr="00EC477E" w:rsidRDefault="00F4347A" w:rsidP="00F4347A">
      <w:pPr>
        <w:tabs>
          <w:tab w:val="left" w:pos="540"/>
          <w:tab w:val="left" w:pos="567"/>
        </w:tabs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>一</w:t>
      </w:r>
      <w:r w:rsidRPr="00EC477E">
        <w:rPr>
          <w:rFonts w:ascii="標楷體" w:eastAsia="標楷體" w:hAnsi="標楷體" w:hint="eastAsia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治療計劃前完整的臨床評估</w:t>
      </w:r>
      <w:r w:rsidRPr="00EC477E">
        <w:rPr>
          <w:rFonts w:eastAsia="標楷體"/>
          <w:sz w:val="26"/>
          <w:szCs w:val="26"/>
        </w:rPr>
        <w:t>(Pretreatment Assessment):</w:t>
      </w:r>
    </w:p>
    <w:p w:rsidR="00F4347A" w:rsidRPr="00EC477E" w:rsidRDefault="00F4347A" w:rsidP="00F4347A">
      <w:pPr>
        <w:tabs>
          <w:tab w:val="left" w:pos="540"/>
        </w:tabs>
        <w:ind w:leftChars="250" w:left="60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確認期別、肛門指診、超音波檢查、電腦斷層攝影或核磁共振之影像發現及報告、全身骨掃</w:t>
      </w:r>
      <w:r w:rsidRPr="00EC477E">
        <w:rPr>
          <w:rFonts w:eastAsia="標楷體" w:hint="eastAsia"/>
          <w:sz w:val="26"/>
          <w:szCs w:val="26"/>
        </w:rPr>
        <w:t>描</w:t>
      </w:r>
      <w:r w:rsidRPr="00EC477E">
        <w:rPr>
          <w:rFonts w:eastAsia="標楷體"/>
          <w:sz w:val="26"/>
          <w:szCs w:val="26"/>
        </w:rPr>
        <w:t>、手術紀錄及病理報告、組織型態、淋巴結有無轉移、手術邊緣及</w:t>
      </w:r>
      <w:r w:rsidRPr="00EC477E">
        <w:rPr>
          <w:rFonts w:eastAsia="標楷體"/>
          <w:bCs/>
          <w:sz w:val="26"/>
          <w:szCs w:val="26"/>
        </w:rPr>
        <w:t>腫瘤指數</w:t>
      </w:r>
      <w:r w:rsidRPr="00EC477E">
        <w:rPr>
          <w:rFonts w:eastAsia="標楷體"/>
          <w:bCs/>
          <w:sz w:val="26"/>
          <w:szCs w:val="26"/>
        </w:rPr>
        <w:t>(PSA)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540"/>
          <w:tab w:val="left" w:pos="567"/>
        </w:tabs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>二</w:t>
      </w:r>
      <w:r w:rsidRPr="00EC477E">
        <w:rPr>
          <w:rFonts w:ascii="標楷體" w:eastAsia="標楷體" w:hAnsi="標楷體" w:hint="eastAsia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治療體位設定</w:t>
      </w:r>
      <w:r w:rsidRPr="00EC477E">
        <w:rPr>
          <w:rFonts w:eastAsia="標楷體"/>
          <w:sz w:val="26"/>
          <w:szCs w:val="26"/>
        </w:rPr>
        <w:t>(Immobilization):</w:t>
      </w:r>
    </w:p>
    <w:p w:rsidR="00F4347A" w:rsidRPr="00EC477E" w:rsidRDefault="00F4347A" w:rsidP="00F4347A">
      <w:pPr>
        <w:tabs>
          <w:tab w:val="left" w:pos="540"/>
        </w:tabs>
        <w:ind w:left="567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lastRenderedPageBreak/>
        <w:t>1.</w:t>
      </w:r>
      <w:r w:rsidRPr="00EC477E">
        <w:rPr>
          <w:rFonts w:eastAsia="標楷體"/>
          <w:sz w:val="26"/>
          <w:szCs w:val="26"/>
        </w:rPr>
        <w:t>病人採仰躺姿勢治療並使用模具固定，治療記號以油性簽字筆標記於病人身體</w:t>
      </w:r>
      <w:r w:rsidRPr="00EC477E">
        <w:rPr>
          <w:rFonts w:eastAsia="標楷體" w:hint="eastAsia"/>
          <w:sz w:val="26"/>
          <w:szCs w:val="26"/>
        </w:rPr>
        <w:t>及</w:t>
      </w:r>
      <w:r w:rsidRPr="00EC477E">
        <w:rPr>
          <w:rFonts w:eastAsia="標楷體"/>
          <w:sz w:val="26"/>
          <w:szCs w:val="26"/>
        </w:rPr>
        <w:t>模具上。</w:t>
      </w:r>
    </w:p>
    <w:p w:rsidR="00F4347A" w:rsidRPr="00EC477E" w:rsidRDefault="00F4347A" w:rsidP="00F4347A">
      <w:pPr>
        <w:tabs>
          <w:tab w:val="left" w:pos="540"/>
        </w:tabs>
        <w:ind w:left="567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>2.</w:t>
      </w:r>
      <w:r w:rsidRPr="00EC477E">
        <w:rPr>
          <w:rFonts w:eastAsia="標楷體"/>
          <w:sz w:val="26"/>
          <w:szCs w:val="26"/>
        </w:rPr>
        <w:t>如狀況不需要使用模具固定時，治療記號以油性簽字筆標記於病人身體上。</w:t>
      </w:r>
    </w:p>
    <w:p w:rsidR="00F4347A" w:rsidRPr="00EC477E" w:rsidRDefault="00F4347A" w:rsidP="00F4347A">
      <w:pPr>
        <w:tabs>
          <w:tab w:val="left" w:pos="540"/>
          <w:tab w:val="left" w:pos="567"/>
        </w:tabs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>三</w:t>
      </w:r>
      <w:r w:rsidRPr="00EC477E">
        <w:rPr>
          <w:rFonts w:ascii="標楷體" w:eastAsia="標楷體" w:hAnsi="標楷體" w:hint="eastAsia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模擬攝影</w:t>
      </w:r>
      <w:r w:rsidRPr="00EC477E">
        <w:rPr>
          <w:rFonts w:eastAsia="標楷體"/>
          <w:sz w:val="26"/>
          <w:szCs w:val="26"/>
        </w:rPr>
        <w:t xml:space="preserve"> (Simulation):</w:t>
      </w:r>
    </w:p>
    <w:p w:rsidR="00F4347A" w:rsidRPr="00EC477E" w:rsidRDefault="00F4347A" w:rsidP="00F4347A">
      <w:pPr>
        <w:numPr>
          <w:ilvl w:val="0"/>
          <w:numId w:val="37"/>
        </w:numPr>
        <w:tabs>
          <w:tab w:val="left" w:pos="540"/>
        </w:tabs>
        <w:ind w:hanging="309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病人依設定體位平躺上電腦斷層攝影床，並配合模具固定身體位置。</w:t>
      </w:r>
    </w:p>
    <w:p w:rsidR="00F4347A" w:rsidRPr="00EC477E" w:rsidRDefault="00F4347A" w:rsidP="00F4347A">
      <w:pPr>
        <w:numPr>
          <w:ilvl w:val="0"/>
          <w:numId w:val="37"/>
        </w:numPr>
        <w:tabs>
          <w:tab w:val="left" w:pos="540"/>
        </w:tabs>
        <w:ind w:hanging="309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病人以自由呼吸方式接受模擬攝影。</w:t>
      </w:r>
    </w:p>
    <w:p w:rsidR="00F4347A" w:rsidRPr="00EC477E" w:rsidRDefault="00F4347A" w:rsidP="00F4347A">
      <w:pPr>
        <w:numPr>
          <w:ilvl w:val="0"/>
          <w:numId w:val="37"/>
        </w:numPr>
        <w:tabs>
          <w:tab w:val="left" w:pos="540"/>
        </w:tabs>
        <w:ind w:hanging="309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電腦斷層掃描每切面間距應不大於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EC477E">
          <w:rPr>
            <w:rFonts w:eastAsia="標楷體"/>
            <w:sz w:val="26"/>
            <w:szCs w:val="26"/>
          </w:rPr>
          <w:t>5m</w:t>
        </w:r>
      </w:smartTag>
      <w:r w:rsidRPr="00EC477E">
        <w:rPr>
          <w:rFonts w:eastAsia="標楷體"/>
          <w:sz w:val="26"/>
          <w:szCs w:val="26"/>
        </w:rPr>
        <w:t>m</w:t>
      </w:r>
      <w:r w:rsidRPr="00EC477E">
        <w:rPr>
          <w:rFonts w:eastAsia="標楷體"/>
          <w:sz w:val="26"/>
          <w:szCs w:val="26"/>
        </w:rPr>
        <w:t>，掃描範圍應包括骨盆腔治療範圍。</w:t>
      </w:r>
    </w:p>
    <w:p w:rsidR="00F4347A" w:rsidRPr="00EC477E" w:rsidRDefault="00F4347A" w:rsidP="00F4347A">
      <w:pPr>
        <w:numPr>
          <w:ilvl w:val="0"/>
          <w:numId w:val="37"/>
        </w:numPr>
        <w:tabs>
          <w:tab w:val="left" w:pos="540"/>
        </w:tabs>
        <w:ind w:hanging="309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掃描後以油性簽字筆作好標記供治療辨認。</w:t>
      </w:r>
    </w:p>
    <w:p w:rsidR="00F4347A" w:rsidRPr="00EC477E" w:rsidRDefault="00F4347A" w:rsidP="00F4347A">
      <w:pPr>
        <w:tabs>
          <w:tab w:val="left" w:pos="540"/>
        </w:tabs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>四</w:t>
      </w:r>
      <w:r w:rsidRPr="00EC477E">
        <w:rPr>
          <w:rFonts w:eastAsia="標楷體"/>
          <w:sz w:val="26"/>
          <w:szCs w:val="26"/>
        </w:rPr>
        <w:t>、治療計劃</w:t>
      </w:r>
      <w:r w:rsidRPr="00EC477E">
        <w:rPr>
          <w:rFonts w:eastAsia="標楷體"/>
          <w:sz w:val="26"/>
          <w:szCs w:val="26"/>
        </w:rPr>
        <w:t>(Treatment Planning):</w:t>
      </w:r>
    </w:p>
    <w:p w:rsidR="00F4347A" w:rsidRPr="00EC477E" w:rsidRDefault="00F4347A" w:rsidP="00F4347A">
      <w:pPr>
        <w:pStyle w:val="ab"/>
        <w:numPr>
          <w:ilvl w:val="3"/>
          <w:numId w:val="5"/>
        </w:numPr>
        <w:tabs>
          <w:tab w:val="clear" w:pos="2880"/>
          <w:tab w:val="left" w:pos="540"/>
          <w:tab w:val="num" w:pos="993"/>
        </w:tabs>
        <w:ind w:leftChars="0" w:hanging="2313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放射治療時醫師所計畫標定之臨床腫瘤體積</w:t>
      </w:r>
      <w:r w:rsidRPr="00EC477E">
        <w:rPr>
          <w:rFonts w:eastAsia="標楷體"/>
          <w:sz w:val="26"/>
          <w:szCs w:val="26"/>
        </w:rPr>
        <w:t>(CTV:clinical target volume)</w:t>
      </w:r>
    </w:p>
    <w:p w:rsidR="00F4347A" w:rsidRPr="00EC477E" w:rsidRDefault="00F4347A" w:rsidP="00F4347A">
      <w:pPr>
        <w:pStyle w:val="ab"/>
        <w:numPr>
          <w:ilvl w:val="1"/>
          <w:numId w:val="25"/>
        </w:numPr>
        <w:tabs>
          <w:tab w:val="left" w:pos="540"/>
        </w:tabs>
        <w:ind w:leftChars="0" w:left="1418" w:hanging="447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無手術之根治性之放射治療：</w:t>
      </w:r>
      <w:r w:rsidRPr="00EC477E">
        <w:rPr>
          <w:rFonts w:eastAsia="標楷體"/>
          <w:sz w:val="26"/>
          <w:szCs w:val="26"/>
        </w:rPr>
        <w:t>CTV</w:t>
      </w:r>
      <w:r w:rsidRPr="00EC477E">
        <w:rPr>
          <w:rFonts w:eastAsia="標楷體"/>
          <w:sz w:val="26"/>
          <w:szCs w:val="26"/>
        </w:rPr>
        <w:t>包括攝護腺、儲精囊。視需要包括骨盆腔淋巴結。</w:t>
      </w:r>
    </w:p>
    <w:p w:rsidR="00F4347A" w:rsidRPr="00EC477E" w:rsidRDefault="00F4347A" w:rsidP="00F4347A">
      <w:pPr>
        <w:tabs>
          <w:tab w:val="left" w:pos="540"/>
        </w:tabs>
        <w:ind w:leftChars="30" w:left="72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       B. </w:t>
      </w:r>
      <w:r w:rsidRPr="00EC477E">
        <w:rPr>
          <w:rFonts w:eastAsia="標楷體"/>
          <w:sz w:val="26"/>
          <w:szCs w:val="26"/>
        </w:rPr>
        <w:t>手術後之輔助性或救助性放射治療：</w:t>
      </w:r>
      <w:r w:rsidRPr="00EC477E">
        <w:rPr>
          <w:rFonts w:eastAsia="標楷體"/>
          <w:sz w:val="26"/>
          <w:szCs w:val="26"/>
        </w:rPr>
        <w:t>CTV</w:t>
      </w:r>
      <w:r w:rsidRPr="00EC477E">
        <w:rPr>
          <w:rFonts w:eastAsia="標楷體"/>
          <w:sz w:val="26"/>
          <w:szCs w:val="26"/>
        </w:rPr>
        <w:t>包括術前攝護腺、儲精囊部位。視需要包括骨盆腔淋巴結。</w:t>
      </w:r>
    </w:p>
    <w:p w:rsidR="00F4347A" w:rsidRPr="00EC477E" w:rsidRDefault="00F4347A" w:rsidP="00F4347A">
      <w:pPr>
        <w:tabs>
          <w:tab w:val="left" w:pos="540"/>
        </w:tabs>
        <w:ind w:left="480" w:firstLineChars="33" w:firstLine="86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2. </w:t>
      </w:r>
      <w:r w:rsidRPr="00EC477E">
        <w:rPr>
          <w:rFonts w:eastAsia="標楷體"/>
          <w:sz w:val="26"/>
          <w:szCs w:val="26"/>
        </w:rPr>
        <w:t>治療計劃標靶體積</w:t>
      </w:r>
      <w:r w:rsidRPr="00EC477E">
        <w:rPr>
          <w:rFonts w:eastAsia="標楷體"/>
          <w:sz w:val="26"/>
          <w:szCs w:val="26"/>
        </w:rPr>
        <w:t>(PTV: planning target volume)</w:t>
      </w:r>
      <w:r w:rsidRPr="00EC477E">
        <w:rPr>
          <w:rFonts w:eastAsia="標楷體"/>
          <w:sz w:val="26"/>
          <w:szCs w:val="26"/>
        </w:rPr>
        <w:t>：為避免每次治療時照野因器官移動所產生的治療範圍誤差，</w:t>
      </w:r>
      <w:r w:rsidRPr="00EC477E">
        <w:rPr>
          <w:rFonts w:eastAsia="標楷體"/>
          <w:sz w:val="26"/>
          <w:szCs w:val="26"/>
        </w:rPr>
        <w:t>PTV</w:t>
      </w:r>
      <w:r w:rsidRPr="00EC477E">
        <w:rPr>
          <w:rFonts w:eastAsia="標楷體"/>
          <w:sz w:val="26"/>
          <w:szCs w:val="26"/>
        </w:rPr>
        <w:t>依</w:t>
      </w:r>
      <w:r w:rsidRPr="00EC477E">
        <w:rPr>
          <w:rFonts w:eastAsia="標楷體"/>
          <w:sz w:val="26"/>
          <w:szCs w:val="26"/>
        </w:rPr>
        <w:t xml:space="preserve">CTV </w:t>
      </w:r>
    </w:p>
    <w:p w:rsidR="00F4347A" w:rsidRPr="00EC477E" w:rsidRDefault="00F4347A" w:rsidP="00F4347A">
      <w:pPr>
        <w:tabs>
          <w:tab w:val="left" w:pos="540"/>
        </w:tabs>
        <w:ind w:left="48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增加</w:t>
      </w:r>
      <w:r w:rsidRPr="00EC477E">
        <w:rPr>
          <w:rFonts w:eastAsia="標楷體"/>
          <w:sz w:val="26"/>
          <w:szCs w:val="26"/>
        </w:rPr>
        <w:t>0.3</w:t>
      </w:r>
      <w:r w:rsidRPr="00EC477E">
        <w:rPr>
          <w:rFonts w:eastAsia="標楷體"/>
          <w:sz w:val="26"/>
          <w:szCs w:val="26"/>
        </w:rPr>
        <w:t>至</w:t>
      </w:r>
      <w:r w:rsidRPr="00EC477E">
        <w:rPr>
          <w:rFonts w:eastAsia="標楷體"/>
          <w:sz w:val="26"/>
          <w:szCs w:val="26"/>
        </w:rPr>
        <w:t>0.8</w:t>
      </w:r>
      <w:r w:rsidRPr="00EC477E">
        <w:rPr>
          <w:rFonts w:eastAsia="標楷體"/>
          <w:sz w:val="26"/>
          <w:szCs w:val="26"/>
        </w:rPr>
        <w:t>公分。</w:t>
      </w:r>
    </w:p>
    <w:p w:rsidR="00F4347A" w:rsidRPr="00EC477E" w:rsidRDefault="00F4347A" w:rsidP="00F4347A">
      <w:pPr>
        <w:tabs>
          <w:tab w:val="left" w:pos="540"/>
        </w:tabs>
        <w:ind w:leftChars="20" w:left="48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    3. </w:t>
      </w:r>
      <w:r w:rsidRPr="00EC477E">
        <w:rPr>
          <w:rFonts w:eastAsia="標楷體"/>
          <w:sz w:val="26"/>
          <w:szCs w:val="26"/>
        </w:rPr>
        <w:t>劑量評估參數：包括直腸</w:t>
      </w:r>
      <w:r w:rsidRPr="00EC477E">
        <w:rPr>
          <w:rFonts w:eastAsia="標楷體"/>
          <w:sz w:val="26"/>
          <w:szCs w:val="26"/>
        </w:rPr>
        <w:t>,</w:t>
      </w:r>
      <w:r w:rsidRPr="00EC477E">
        <w:rPr>
          <w:rFonts w:eastAsia="標楷體"/>
          <w:sz w:val="26"/>
          <w:szCs w:val="26"/>
        </w:rPr>
        <w:t>膀胱及股骨頭劑量。</w:t>
      </w:r>
    </w:p>
    <w:p w:rsidR="00F4347A" w:rsidRPr="00EC477E" w:rsidRDefault="00F4347A" w:rsidP="00F4347A">
      <w:pPr>
        <w:tabs>
          <w:tab w:val="left" w:pos="540"/>
        </w:tabs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五、放射治療前評估紀錄：包括期別、電腦斷層攝影或核磁共振之影像發現及報告、病理報告、病人簡史、理學檢查、重要檢查</w:t>
      </w:r>
    </w:p>
    <w:p w:rsidR="00F4347A" w:rsidRPr="00EC477E" w:rsidRDefault="00F4347A" w:rsidP="00F4347A">
      <w:pPr>
        <w:tabs>
          <w:tab w:val="left" w:pos="540"/>
        </w:tabs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結果、診斷評估、體能狀態及治療計劃。</w:t>
      </w: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8"/>
        </w:rPr>
      </w:pPr>
      <w:r w:rsidRPr="00EC477E">
        <w:rPr>
          <w:rFonts w:eastAsia="標楷體"/>
          <w:sz w:val="26"/>
          <w:szCs w:val="26"/>
        </w:rPr>
        <w:t>六、首次治療前應使用定位照相或影像導引以確保照射範圍正確性，並由醫師確認簽章後才能進行。</w:t>
      </w:r>
      <w:r w:rsidRPr="00EC477E">
        <w:rPr>
          <w:rFonts w:eastAsia="標楷體"/>
          <w:sz w:val="28"/>
          <w:szCs w:val="28"/>
        </w:rPr>
        <w:br w:type="page"/>
      </w:r>
      <w:r w:rsidRPr="00EC477E">
        <w:rPr>
          <w:rFonts w:eastAsia="標楷體"/>
          <w:b/>
          <w:bCs/>
          <w:sz w:val="28"/>
        </w:rPr>
        <w:lastRenderedPageBreak/>
        <w:t>根治性放射治療技術</w:t>
      </w:r>
    </w:p>
    <w:p w:rsidR="00F4347A" w:rsidRPr="00EC477E" w:rsidRDefault="00F4347A" w:rsidP="00F4347A">
      <w:pPr>
        <w:pStyle w:val="ab"/>
        <w:numPr>
          <w:ilvl w:val="1"/>
          <w:numId w:val="37"/>
        </w:numPr>
        <w:tabs>
          <w:tab w:val="left" w:pos="12972"/>
        </w:tabs>
        <w:ind w:leftChars="0" w:left="567" w:hanging="567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無手術之根治性之放射治療</w:t>
      </w:r>
      <w:r w:rsidRPr="00EC477E">
        <w:rPr>
          <w:rFonts w:eastAsia="標楷體"/>
          <w:sz w:val="26"/>
          <w:szCs w:val="26"/>
        </w:rPr>
        <w:t>:</w:t>
      </w:r>
    </w:p>
    <w:p w:rsidR="00F4347A" w:rsidRPr="00EC477E" w:rsidRDefault="00F4347A" w:rsidP="00F4347A">
      <w:pPr>
        <w:tabs>
          <w:tab w:val="left" w:pos="709"/>
        </w:tabs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一般治療範圍涵蓋攝護腺、儲精囊及骨盆腔淋巴結，每天治療一次，每週五次，每次治療劑量</w:t>
      </w:r>
      <w:r w:rsidRPr="00EC477E">
        <w:rPr>
          <w:rFonts w:eastAsia="標楷體"/>
          <w:sz w:val="26"/>
          <w:szCs w:val="26"/>
        </w:rPr>
        <w:t>1.8~2.0Gy</w:t>
      </w:r>
      <w:r w:rsidRPr="00EC477E">
        <w:rPr>
          <w:rFonts w:eastAsia="標楷體"/>
          <w:sz w:val="26"/>
          <w:szCs w:val="26"/>
        </w:rPr>
        <w:t>，總劑量依臨床復發風險分述如下：</w:t>
      </w:r>
    </w:p>
    <w:p w:rsidR="00F4347A" w:rsidRPr="00EC477E" w:rsidRDefault="00F4347A" w:rsidP="00F4347A">
      <w:pPr>
        <w:tabs>
          <w:tab w:val="left" w:pos="540"/>
          <w:tab w:val="num" w:pos="1440"/>
        </w:tabs>
        <w:ind w:leftChars="30" w:left="72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       1. </w:t>
      </w:r>
      <w:r w:rsidRPr="00EC477E">
        <w:rPr>
          <w:rFonts w:eastAsia="標楷體"/>
          <w:sz w:val="26"/>
          <w:szCs w:val="26"/>
        </w:rPr>
        <w:t>低度風險（</w:t>
      </w:r>
      <w:r w:rsidRPr="00EC477E">
        <w:rPr>
          <w:rFonts w:eastAsia="標楷體"/>
          <w:sz w:val="26"/>
          <w:szCs w:val="26"/>
        </w:rPr>
        <w:t>Very low, low risk group</w:t>
      </w:r>
      <w:r w:rsidRPr="00EC477E">
        <w:rPr>
          <w:rFonts w:eastAsia="標楷體"/>
          <w:sz w:val="26"/>
          <w:szCs w:val="26"/>
        </w:rPr>
        <w:t>）</w:t>
      </w:r>
      <w:r w:rsidRPr="00EC477E">
        <w:rPr>
          <w:rFonts w:eastAsia="標楷體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攝護腺</w:t>
      </w:r>
      <w:r w:rsidRPr="00EC477E">
        <w:rPr>
          <w:rFonts w:eastAsia="標楷體"/>
          <w:sz w:val="26"/>
          <w:szCs w:val="26"/>
        </w:rPr>
        <w:t>75.6-79.2 Gy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8"/>
          <w:attr w:name="UnitName" w:val="g"/>
        </w:smartTagPr>
        <w:r w:rsidRPr="00EC477E">
          <w:rPr>
            <w:rFonts w:eastAsia="標楷體"/>
            <w:sz w:val="26"/>
            <w:szCs w:val="26"/>
          </w:rPr>
          <w:t>1.8 G</w:t>
        </w:r>
      </w:smartTag>
      <w:r w:rsidRPr="00EC477E">
        <w:rPr>
          <w:rFonts w:eastAsia="標楷體"/>
          <w:sz w:val="26"/>
          <w:szCs w:val="26"/>
        </w:rPr>
        <w:t>y/</w:t>
      </w:r>
      <w:r w:rsidRPr="00EC477E">
        <w:rPr>
          <w:rFonts w:eastAsia="標楷體" w:hint="eastAsia"/>
          <w:sz w:val="26"/>
          <w:szCs w:val="26"/>
        </w:rPr>
        <w:t>f</w:t>
      </w:r>
      <w:r w:rsidRPr="00EC477E">
        <w:rPr>
          <w:rFonts w:eastAsia="標楷體"/>
          <w:sz w:val="26"/>
          <w:szCs w:val="26"/>
        </w:rPr>
        <w:t>x)</w:t>
      </w:r>
      <w:r w:rsidRPr="00EC477E">
        <w:rPr>
          <w:rFonts w:eastAsia="標楷體"/>
          <w:sz w:val="26"/>
          <w:szCs w:val="26"/>
        </w:rPr>
        <w:t>或</w:t>
      </w:r>
      <w:r w:rsidRPr="00EC477E">
        <w:rPr>
          <w:rFonts w:eastAsia="標楷體"/>
          <w:sz w:val="26"/>
          <w:szCs w:val="26"/>
        </w:rPr>
        <w:t>74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78"/>
          <w:attr w:name="UnitName" w:val="g"/>
        </w:smartTagPr>
        <w:r w:rsidRPr="00EC477E">
          <w:rPr>
            <w:rFonts w:eastAsia="標楷體"/>
            <w:sz w:val="26"/>
            <w:szCs w:val="26"/>
          </w:rPr>
          <w:t>-78G</w:t>
        </w:r>
      </w:smartTag>
      <w:r w:rsidRPr="00EC477E">
        <w:rPr>
          <w:rFonts w:eastAsia="標楷體"/>
          <w:sz w:val="26"/>
          <w:szCs w:val="26"/>
        </w:rPr>
        <w:t>y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 w:rsidRPr="00EC477E">
          <w:rPr>
            <w:rFonts w:eastAsia="標楷體"/>
            <w:sz w:val="26"/>
            <w:szCs w:val="26"/>
          </w:rPr>
          <w:t>2.0G</w:t>
        </w:r>
      </w:smartTag>
      <w:r w:rsidRPr="00EC477E">
        <w:rPr>
          <w:rFonts w:eastAsia="標楷體"/>
          <w:sz w:val="26"/>
          <w:szCs w:val="26"/>
        </w:rPr>
        <w:t>y/</w:t>
      </w:r>
      <w:r w:rsidRPr="00EC477E">
        <w:rPr>
          <w:rFonts w:eastAsia="標楷體" w:hint="eastAsia"/>
          <w:sz w:val="26"/>
          <w:szCs w:val="26"/>
        </w:rPr>
        <w:t>f</w:t>
      </w:r>
      <w:r w:rsidRPr="00EC477E">
        <w:rPr>
          <w:rFonts w:eastAsia="標楷體"/>
          <w:sz w:val="26"/>
          <w:szCs w:val="26"/>
        </w:rPr>
        <w:t>x)</w:t>
      </w:r>
      <w:r w:rsidRPr="00EC477E">
        <w:rPr>
          <w:rFonts w:eastAsia="標楷體"/>
          <w:sz w:val="26"/>
          <w:szCs w:val="26"/>
        </w:rPr>
        <w:t>；儲精囊</w:t>
      </w:r>
      <w:r w:rsidRPr="00EC477E">
        <w:rPr>
          <w:rFonts w:eastAsia="標楷體"/>
          <w:sz w:val="26"/>
          <w:szCs w:val="26"/>
        </w:rPr>
        <w:t>59.4 ~ 63 Gy (</w:t>
      </w:r>
      <w:r w:rsidRPr="00EC477E">
        <w:rPr>
          <w:rFonts w:eastAsia="標楷體"/>
          <w:sz w:val="26"/>
          <w:szCs w:val="26"/>
        </w:rPr>
        <w:t>可</w:t>
      </w:r>
    </w:p>
    <w:p w:rsidR="00F4347A" w:rsidRPr="00EC477E" w:rsidRDefault="00F4347A" w:rsidP="00F4347A">
      <w:pPr>
        <w:pStyle w:val="ab"/>
        <w:tabs>
          <w:tab w:val="left" w:pos="540"/>
          <w:tab w:val="num" w:pos="1440"/>
        </w:tabs>
        <w:ind w:leftChars="0" w:left="1134" w:firstLineChars="50" w:firstLine="13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考慮不做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540"/>
          <w:tab w:val="num" w:pos="1673"/>
        </w:tabs>
        <w:ind w:leftChars="30" w:left="72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       2. </w:t>
      </w:r>
      <w:r w:rsidRPr="00EC477E">
        <w:rPr>
          <w:rFonts w:eastAsia="標楷體"/>
          <w:sz w:val="26"/>
          <w:szCs w:val="26"/>
        </w:rPr>
        <w:t>中度、高度與非常高度風險（</w:t>
      </w:r>
      <w:r w:rsidRPr="00EC477E">
        <w:rPr>
          <w:rFonts w:eastAsia="標楷體"/>
          <w:sz w:val="26"/>
          <w:szCs w:val="26"/>
        </w:rPr>
        <w:t>Intermediate</w:t>
      </w:r>
      <w:r w:rsidRPr="00EC477E">
        <w:rPr>
          <w:rFonts w:eastAsia="標楷體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high and very high risk groups</w:t>
      </w:r>
      <w:r w:rsidRPr="00EC477E">
        <w:rPr>
          <w:rFonts w:eastAsia="標楷體"/>
          <w:sz w:val="26"/>
          <w:szCs w:val="26"/>
        </w:rPr>
        <w:t>）</w:t>
      </w:r>
      <w:r w:rsidRPr="00EC477E">
        <w:rPr>
          <w:rFonts w:eastAsia="標楷體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攝護腺</w:t>
      </w:r>
      <w:r w:rsidRPr="00EC477E">
        <w:rPr>
          <w:rFonts w:eastAsia="標楷體"/>
          <w:sz w:val="26"/>
          <w:szCs w:val="26"/>
        </w:rPr>
        <w:t>75.6 ~ 81 Gy (</w:t>
      </w:r>
      <w:smartTag w:uri="urn:schemas-microsoft-com:office:smarttags" w:element="chmetcnv">
        <w:smartTagPr>
          <w:attr w:name="UnitName" w:val="g"/>
          <w:attr w:name="SourceValue" w:val="1.8"/>
          <w:attr w:name="HasSpace" w:val="True"/>
          <w:attr w:name="Negative" w:val="False"/>
          <w:attr w:name="NumberType" w:val="1"/>
          <w:attr w:name="TCSC" w:val="0"/>
        </w:smartTagPr>
        <w:r w:rsidRPr="00EC477E">
          <w:rPr>
            <w:rFonts w:eastAsia="標楷體"/>
            <w:sz w:val="26"/>
            <w:szCs w:val="26"/>
          </w:rPr>
          <w:t>1.8 G</w:t>
        </w:r>
      </w:smartTag>
      <w:r w:rsidRPr="00EC477E">
        <w:rPr>
          <w:rFonts w:eastAsia="標楷體"/>
          <w:sz w:val="26"/>
          <w:szCs w:val="26"/>
        </w:rPr>
        <w:t>y/day)</w:t>
      </w:r>
      <w:r w:rsidRPr="00EC477E">
        <w:rPr>
          <w:rFonts w:eastAsia="標楷體"/>
          <w:sz w:val="26"/>
          <w:szCs w:val="26"/>
        </w:rPr>
        <w:t>或</w:t>
      </w:r>
      <w:r w:rsidRPr="00EC477E">
        <w:rPr>
          <w:rFonts w:eastAsia="標楷體"/>
          <w:sz w:val="26"/>
          <w:szCs w:val="26"/>
        </w:rPr>
        <w:t>74</w:t>
      </w:r>
      <w:smartTag w:uri="urn:schemas-microsoft-com:office:smarttags" w:element="chmetcnv">
        <w:smartTagPr>
          <w:attr w:name="UnitName" w:val="g"/>
          <w:attr w:name="SourceValue" w:val="78"/>
          <w:attr w:name="HasSpace" w:val="False"/>
          <w:attr w:name="Negative" w:val="True"/>
          <w:attr w:name="NumberType" w:val="1"/>
          <w:attr w:name="TCSC" w:val="0"/>
        </w:smartTagPr>
        <w:r w:rsidRPr="00EC477E">
          <w:rPr>
            <w:rFonts w:eastAsia="標楷體"/>
            <w:sz w:val="26"/>
            <w:szCs w:val="26"/>
          </w:rPr>
          <w:t>-78G</w:t>
        </w:r>
      </w:smartTag>
      <w:r w:rsidRPr="00EC477E">
        <w:rPr>
          <w:rFonts w:eastAsia="標楷體"/>
          <w:sz w:val="26"/>
          <w:szCs w:val="26"/>
        </w:rPr>
        <w:t xml:space="preserve">y </w:t>
      </w:r>
    </w:p>
    <w:p w:rsidR="00F4347A" w:rsidRPr="00EC477E" w:rsidRDefault="00F4347A" w:rsidP="00F4347A">
      <w:pPr>
        <w:tabs>
          <w:tab w:val="left" w:pos="540"/>
          <w:tab w:val="num" w:pos="1673"/>
        </w:tabs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(</w:t>
      </w:r>
      <w:smartTag w:uri="urn:schemas-microsoft-com:office:smarttags" w:element="chmetcnv">
        <w:smartTagPr>
          <w:attr w:name="UnitName" w:val="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C477E">
          <w:rPr>
            <w:rFonts w:eastAsia="標楷體"/>
            <w:sz w:val="26"/>
            <w:szCs w:val="26"/>
          </w:rPr>
          <w:t>2.0G</w:t>
        </w:r>
      </w:smartTag>
      <w:r w:rsidRPr="00EC477E">
        <w:rPr>
          <w:rFonts w:eastAsia="標楷體"/>
          <w:sz w:val="26"/>
          <w:szCs w:val="26"/>
        </w:rPr>
        <w:t>y/day)</w:t>
      </w:r>
      <w:r w:rsidRPr="00EC477E">
        <w:rPr>
          <w:rFonts w:eastAsia="標楷體"/>
          <w:sz w:val="26"/>
          <w:szCs w:val="26"/>
        </w:rPr>
        <w:t>；儲精囊</w:t>
      </w:r>
      <w:r w:rsidRPr="00EC477E">
        <w:rPr>
          <w:rFonts w:eastAsia="標楷體"/>
          <w:sz w:val="26"/>
          <w:szCs w:val="26"/>
        </w:rPr>
        <w:t>59.4 ~ 63 Gy ;</w:t>
      </w:r>
      <w:r w:rsidRPr="00EC477E">
        <w:rPr>
          <w:rFonts w:eastAsia="標楷體"/>
          <w:sz w:val="26"/>
          <w:szCs w:val="26"/>
        </w:rPr>
        <w:t>骨盆腔淋巴結</w:t>
      </w:r>
      <w:r w:rsidRPr="00EC477E">
        <w:rPr>
          <w:rFonts w:eastAsia="標楷體"/>
          <w:sz w:val="26"/>
          <w:szCs w:val="26"/>
        </w:rPr>
        <w:t>45~</w:t>
      </w:r>
      <w:smartTag w:uri="urn:schemas-microsoft-com:office:smarttags" w:element="chmetcnv">
        <w:smartTagPr>
          <w:attr w:name="UnitName" w:val="g"/>
          <w:attr w:name="SourceValue" w:val="50.4"/>
          <w:attr w:name="HasSpace" w:val="False"/>
          <w:attr w:name="Negative" w:val="False"/>
          <w:attr w:name="NumberType" w:val="1"/>
          <w:attr w:name="TCSC" w:val="0"/>
        </w:smartTagPr>
        <w:r w:rsidRPr="00EC477E">
          <w:rPr>
            <w:rFonts w:eastAsia="標楷體"/>
            <w:sz w:val="26"/>
            <w:szCs w:val="26"/>
          </w:rPr>
          <w:t>50.4G</w:t>
        </w:r>
      </w:smartTag>
      <w:r w:rsidRPr="00EC477E">
        <w:rPr>
          <w:rFonts w:eastAsia="標楷體"/>
          <w:sz w:val="26"/>
          <w:szCs w:val="26"/>
        </w:rPr>
        <w:t>y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540"/>
          <w:tab w:val="num" w:pos="1440"/>
          <w:tab w:val="num" w:pos="1673"/>
        </w:tabs>
        <w:ind w:leftChars="30" w:left="72"/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       3. </w:t>
      </w:r>
      <w:r w:rsidRPr="00EC477E">
        <w:rPr>
          <w:rFonts w:eastAsia="標楷體"/>
          <w:sz w:val="26"/>
          <w:szCs w:val="26"/>
        </w:rPr>
        <w:t>以上為建議治療劑量，實際情況仍須視每位病患的情況進行調整。</w:t>
      </w:r>
    </w:p>
    <w:p w:rsidR="00F4347A" w:rsidRPr="00EC477E" w:rsidRDefault="00F4347A" w:rsidP="00F4347A">
      <w:pPr>
        <w:tabs>
          <w:tab w:val="left" w:pos="540"/>
          <w:tab w:val="num" w:pos="1080"/>
        </w:tabs>
        <w:ind w:left="567" w:firstLineChars="118" w:firstLine="307"/>
        <w:rPr>
          <w:rFonts w:eastAsia="標楷體"/>
          <w:sz w:val="26"/>
          <w:szCs w:val="26"/>
        </w:rPr>
      </w:pPr>
      <w:r w:rsidRPr="00EC477E">
        <w:rPr>
          <w:rFonts w:eastAsia="標楷體"/>
          <w:bCs/>
          <w:sz w:val="26"/>
          <w:szCs w:val="26"/>
        </w:rPr>
        <w:t>放射治療技術建議使用</w:t>
      </w:r>
      <w:r w:rsidRPr="00EC477E">
        <w:rPr>
          <w:rFonts w:eastAsia="標楷體"/>
          <w:bCs/>
          <w:sz w:val="26"/>
          <w:szCs w:val="26"/>
        </w:rPr>
        <w:t>IMRT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540"/>
        </w:tabs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>二</w:t>
      </w:r>
      <w:r w:rsidRPr="00EC477E">
        <w:rPr>
          <w:rFonts w:ascii="標楷體" w:eastAsia="標楷體" w:hAnsi="標楷體" w:hint="eastAsia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手術後之輔助性放射治療（</w:t>
      </w:r>
      <w:r w:rsidRPr="00EC477E">
        <w:rPr>
          <w:rFonts w:eastAsia="標楷體"/>
          <w:sz w:val="26"/>
          <w:szCs w:val="26"/>
        </w:rPr>
        <w:t>Adjuvant RT</w:t>
      </w:r>
      <w:r w:rsidRPr="00EC477E">
        <w:rPr>
          <w:rFonts w:eastAsia="標楷體"/>
          <w:sz w:val="26"/>
          <w:szCs w:val="26"/>
        </w:rPr>
        <w:t>）</w:t>
      </w:r>
      <w:r w:rsidRPr="00EC477E">
        <w:rPr>
          <w:rFonts w:eastAsia="標楷體"/>
          <w:sz w:val="26"/>
          <w:szCs w:val="26"/>
        </w:rPr>
        <w:t>:</w:t>
      </w:r>
    </w:p>
    <w:p w:rsidR="00F4347A" w:rsidRPr="00EC477E" w:rsidRDefault="00F4347A" w:rsidP="00F4347A">
      <w:pPr>
        <w:pStyle w:val="ab"/>
        <w:numPr>
          <w:ilvl w:val="3"/>
          <w:numId w:val="14"/>
        </w:numPr>
        <w:tabs>
          <w:tab w:val="num" w:pos="851"/>
          <w:tab w:val="num" w:pos="1320"/>
        </w:tabs>
        <w:ind w:leftChars="0" w:hanging="1353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一般治療範圍涵蓋術前攝護腺及儲精囊部位，每天治療一次，每週五次，每次治療劑量</w:t>
      </w:r>
      <w:r w:rsidRPr="00EC477E">
        <w:rPr>
          <w:rFonts w:eastAsia="標楷體"/>
          <w:sz w:val="26"/>
          <w:szCs w:val="26"/>
        </w:rPr>
        <w:t>2.0 Gy</w:t>
      </w:r>
      <w:r w:rsidRPr="00EC477E">
        <w:rPr>
          <w:rFonts w:eastAsia="標楷體"/>
          <w:sz w:val="26"/>
          <w:szCs w:val="26"/>
        </w:rPr>
        <w:t>，總劑量依臨床評估約</w:t>
      </w:r>
    </w:p>
    <w:p w:rsidR="00F4347A" w:rsidRPr="00EC477E" w:rsidRDefault="00F4347A" w:rsidP="00F4347A">
      <w:pPr>
        <w:tabs>
          <w:tab w:val="num" w:pos="1320"/>
        </w:tabs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在</w:t>
      </w:r>
      <w:r w:rsidRPr="00EC477E">
        <w:rPr>
          <w:rFonts w:eastAsia="標楷體"/>
          <w:sz w:val="26"/>
          <w:szCs w:val="26"/>
        </w:rPr>
        <w:t>60</w:t>
      </w:r>
      <w:r w:rsidRPr="00EC477E">
        <w:rPr>
          <w:rFonts w:eastAsia="標楷體"/>
          <w:sz w:val="26"/>
          <w:szCs w:val="26"/>
        </w:rPr>
        <w:t>～</w:t>
      </w:r>
      <w:r w:rsidRPr="00EC477E">
        <w:rPr>
          <w:rFonts w:eastAsia="標楷體"/>
          <w:sz w:val="26"/>
          <w:szCs w:val="26"/>
        </w:rPr>
        <w:t>70 Gy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pStyle w:val="ab"/>
        <w:numPr>
          <w:ilvl w:val="3"/>
          <w:numId w:val="14"/>
        </w:numPr>
        <w:tabs>
          <w:tab w:val="left" w:pos="567"/>
        </w:tabs>
        <w:ind w:leftChars="0" w:left="851" w:hanging="284"/>
        <w:rPr>
          <w:rFonts w:eastAsia="標楷體"/>
          <w:sz w:val="26"/>
          <w:szCs w:val="26"/>
        </w:rPr>
      </w:pPr>
      <w:r w:rsidRPr="00EC477E">
        <w:rPr>
          <w:rFonts w:eastAsia="標楷體"/>
          <w:bCs/>
          <w:sz w:val="26"/>
          <w:szCs w:val="26"/>
        </w:rPr>
        <w:t>放射治療技術建議使用</w:t>
      </w:r>
      <w:r w:rsidRPr="00EC477E">
        <w:rPr>
          <w:rFonts w:eastAsia="標楷體"/>
          <w:bCs/>
          <w:sz w:val="26"/>
          <w:szCs w:val="26"/>
        </w:rPr>
        <w:t>IMRT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numPr>
          <w:ilvl w:val="0"/>
          <w:numId w:val="14"/>
        </w:numPr>
        <w:tabs>
          <w:tab w:val="left" w:pos="540"/>
          <w:tab w:val="left" w:pos="567"/>
        </w:tabs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手術後之救助性放射治療</w:t>
      </w:r>
      <w:r w:rsidRPr="00EC477E">
        <w:rPr>
          <w:rFonts w:eastAsia="標楷體"/>
          <w:sz w:val="26"/>
          <w:szCs w:val="26"/>
        </w:rPr>
        <w:t>(Salvage RT)</w:t>
      </w:r>
    </w:p>
    <w:p w:rsidR="00F4347A" w:rsidRPr="00EC477E" w:rsidRDefault="00F4347A" w:rsidP="00F4347A">
      <w:pPr>
        <w:numPr>
          <w:ilvl w:val="0"/>
          <w:numId w:val="28"/>
        </w:numPr>
        <w:tabs>
          <w:tab w:val="clear" w:pos="480"/>
          <w:tab w:val="num" w:pos="900"/>
          <w:tab w:val="num" w:pos="1320"/>
        </w:tabs>
        <w:ind w:left="900" w:hanging="36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一般治療範圍涵蓋術前攝護腺及儲精囊部位，每天治療一次，每週五次，每次治療劑量</w:t>
      </w:r>
      <w:r w:rsidRPr="00EC477E">
        <w:rPr>
          <w:rFonts w:eastAsia="標楷體"/>
          <w:sz w:val="26"/>
          <w:szCs w:val="26"/>
        </w:rPr>
        <w:t>2.0 Gy</w:t>
      </w:r>
      <w:r w:rsidRPr="00EC477E">
        <w:rPr>
          <w:rFonts w:eastAsia="標楷體"/>
          <w:sz w:val="26"/>
          <w:szCs w:val="26"/>
        </w:rPr>
        <w:t>，總劑量依臨床評估約在</w:t>
      </w:r>
      <w:r w:rsidRPr="00EC477E">
        <w:rPr>
          <w:rFonts w:eastAsia="標楷體"/>
          <w:sz w:val="26"/>
          <w:szCs w:val="26"/>
        </w:rPr>
        <w:t>64</w:t>
      </w:r>
      <w:r w:rsidRPr="00EC477E">
        <w:rPr>
          <w:rFonts w:eastAsia="標楷體"/>
          <w:sz w:val="26"/>
          <w:szCs w:val="26"/>
        </w:rPr>
        <w:t>～</w:t>
      </w:r>
      <w:r w:rsidRPr="00EC477E">
        <w:rPr>
          <w:rFonts w:eastAsia="標楷體"/>
          <w:sz w:val="26"/>
          <w:szCs w:val="26"/>
        </w:rPr>
        <w:t>76 Gy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numPr>
          <w:ilvl w:val="0"/>
          <w:numId w:val="28"/>
        </w:numPr>
        <w:tabs>
          <w:tab w:val="clear" w:pos="480"/>
          <w:tab w:val="left" w:pos="567"/>
          <w:tab w:val="num" w:pos="900"/>
        </w:tabs>
        <w:ind w:left="900" w:hanging="360"/>
        <w:rPr>
          <w:rFonts w:eastAsia="標楷體"/>
          <w:sz w:val="26"/>
          <w:szCs w:val="26"/>
        </w:rPr>
      </w:pPr>
      <w:r w:rsidRPr="00EC477E">
        <w:rPr>
          <w:rFonts w:eastAsia="標楷體"/>
          <w:bCs/>
          <w:sz w:val="26"/>
          <w:szCs w:val="26"/>
        </w:rPr>
        <w:t>放射治療技術建議使用</w:t>
      </w:r>
      <w:r w:rsidRPr="00EC477E">
        <w:rPr>
          <w:rFonts w:eastAsia="標楷體"/>
          <w:bCs/>
          <w:sz w:val="26"/>
          <w:szCs w:val="26"/>
        </w:rPr>
        <w:t>IMRT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sz w:val="26"/>
          <w:szCs w:val="26"/>
        </w:rPr>
      </w:pPr>
      <w:r w:rsidRPr="00EC477E">
        <w:rPr>
          <w:rFonts w:eastAsia="標楷體"/>
          <w:b/>
          <w:bCs/>
          <w:sz w:val="26"/>
          <w:szCs w:val="26"/>
        </w:rPr>
        <w:t>根治性</w:t>
      </w:r>
      <w:r w:rsidRPr="00EC477E">
        <w:rPr>
          <w:rFonts w:eastAsia="標楷體"/>
          <w:b/>
          <w:sz w:val="28"/>
          <w:szCs w:val="28"/>
        </w:rPr>
        <w:t>攝護腺</w:t>
      </w:r>
      <w:r w:rsidRPr="00EC477E">
        <w:rPr>
          <w:rFonts w:eastAsia="標楷體"/>
          <w:b/>
          <w:bCs/>
          <w:sz w:val="26"/>
          <w:szCs w:val="26"/>
        </w:rPr>
        <w:t>癌放射治療</w:t>
      </w:r>
      <w:r w:rsidRPr="00EC477E">
        <w:rPr>
          <w:rFonts w:eastAsia="標楷體"/>
          <w:b/>
          <w:bCs/>
          <w:kern w:val="0"/>
          <w:sz w:val="26"/>
          <w:szCs w:val="26"/>
        </w:rPr>
        <w:t>重要器官</w:t>
      </w:r>
      <w:r w:rsidRPr="00EC477E">
        <w:rPr>
          <w:rFonts w:eastAsia="標楷體"/>
          <w:b/>
          <w:sz w:val="26"/>
          <w:szCs w:val="26"/>
        </w:rPr>
        <w:t>劑量評估參數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7590"/>
      </w:tblGrid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sz w:val="26"/>
                <w:szCs w:val="26"/>
              </w:rPr>
              <w:lastRenderedPageBreak/>
              <w:t>Rectum (</w:t>
            </w:r>
            <w:r w:rsidRPr="00EC477E">
              <w:rPr>
                <w:rFonts w:eastAsia="標楷體"/>
                <w:sz w:val="26"/>
                <w:szCs w:val="26"/>
              </w:rPr>
              <w:t>以</w:t>
            </w:r>
            <w:r w:rsidRPr="00EC477E">
              <w:rPr>
                <w:rFonts w:eastAsia="標楷體"/>
                <w:sz w:val="26"/>
                <w:szCs w:val="26"/>
              </w:rPr>
              <w:t>Grade 2 late toxicity</w:t>
            </w:r>
            <w:r w:rsidRPr="00EC477E">
              <w:rPr>
                <w:rFonts w:eastAsia="標楷體"/>
                <w:sz w:val="26"/>
                <w:szCs w:val="26"/>
              </w:rPr>
              <w:t>機率小於</w:t>
            </w:r>
            <w:r w:rsidRPr="00EC477E">
              <w:rPr>
                <w:rFonts w:eastAsia="標楷體"/>
                <w:sz w:val="26"/>
                <w:szCs w:val="26"/>
              </w:rPr>
              <w:t xml:space="preserve">15% </w:t>
            </w:r>
            <w:r w:rsidRPr="00EC477E">
              <w:rPr>
                <w:rFonts w:eastAsia="標楷體"/>
                <w:sz w:val="26"/>
                <w:szCs w:val="26"/>
              </w:rPr>
              <w:t>為參考基準</w:t>
            </w:r>
            <w:r w:rsidRPr="00EC477E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V</w:t>
            </w:r>
            <w:r w:rsidRPr="00EC477E">
              <w:rPr>
                <w:rFonts w:eastAsia="標楷體"/>
                <w:kern w:val="0"/>
                <w:sz w:val="26"/>
                <w:szCs w:val="26"/>
                <w:vertAlign w:val="subscript"/>
              </w:rPr>
              <w:t>50Gy</w:t>
            </w:r>
            <w:r w:rsidRPr="00EC477E">
              <w:rPr>
                <w:rFonts w:eastAsia="標楷體"/>
                <w:kern w:val="0"/>
                <w:sz w:val="26"/>
                <w:szCs w:val="26"/>
              </w:rPr>
              <w:t>&lt; 50%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V</w:t>
            </w:r>
            <w:r w:rsidRPr="00EC477E">
              <w:rPr>
                <w:rFonts w:eastAsia="標楷體"/>
                <w:kern w:val="0"/>
                <w:sz w:val="26"/>
                <w:szCs w:val="26"/>
                <w:vertAlign w:val="subscript"/>
              </w:rPr>
              <w:t>60Gy</w:t>
            </w:r>
            <w:r w:rsidRPr="00EC477E">
              <w:rPr>
                <w:rFonts w:eastAsia="標楷體"/>
                <w:kern w:val="0"/>
                <w:sz w:val="26"/>
                <w:szCs w:val="26"/>
              </w:rPr>
              <w:t>&lt; 35%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V</w:t>
            </w:r>
            <w:r w:rsidRPr="00EC477E">
              <w:rPr>
                <w:rFonts w:eastAsia="標楷體"/>
                <w:kern w:val="0"/>
                <w:sz w:val="26"/>
                <w:szCs w:val="26"/>
                <w:vertAlign w:val="subscript"/>
              </w:rPr>
              <w:t>65Gy</w:t>
            </w:r>
            <w:r w:rsidRPr="00EC477E">
              <w:rPr>
                <w:rFonts w:eastAsia="標楷體"/>
                <w:kern w:val="0"/>
                <w:sz w:val="26"/>
                <w:szCs w:val="26"/>
              </w:rPr>
              <w:t>&lt; 25%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V</w:t>
            </w:r>
            <w:r w:rsidRPr="00EC477E">
              <w:rPr>
                <w:rFonts w:eastAsia="標楷體"/>
                <w:kern w:val="0"/>
                <w:sz w:val="26"/>
                <w:szCs w:val="26"/>
                <w:vertAlign w:val="subscript"/>
              </w:rPr>
              <w:t>70Gy</w:t>
            </w:r>
            <w:r w:rsidRPr="00EC477E">
              <w:rPr>
                <w:rFonts w:eastAsia="標楷體"/>
                <w:kern w:val="0"/>
                <w:sz w:val="26"/>
                <w:szCs w:val="26"/>
              </w:rPr>
              <w:t>&lt; 20%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V</w:t>
            </w:r>
            <w:r w:rsidRPr="00EC477E">
              <w:rPr>
                <w:rFonts w:eastAsia="標楷體"/>
                <w:kern w:val="0"/>
                <w:sz w:val="26"/>
                <w:szCs w:val="26"/>
                <w:vertAlign w:val="subscript"/>
              </w:rPr>
              <w:t>75Gy</w:t>
            </w:r>
            <w:r w:rsidRPr="00EC477E">
              <w:rPr>
                <w:rFonts w:eastAsia="標楷體"/>
                <w:kern w:val="0"/>
                <w:sz w:val="26"/>
                <w:szCs w:val="26"/>
              </w:rPr>
              <w:t>&lt; 15%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sz w:val="26"/>
                <w:szCs w:val="26"/>
              </w:rPr>
              <w:t>Bladder (</w:t>
            </w:r>
            <w:r w:rsidRPr="00EC477E">
              <w:rPr>
                <w:rFonts w:eastAsia="標楷體"/>
                <w:sz w:val="26"/>
                <w:szCs w:val="26"/>
              </w:rPr>
              <w:t>以</w:t>
            </w:r>
            <w:r w:rsidRPr="00EC477E">
              <w:rPr>
                <w:rFonts w:eastAsia="標楷體"/>
                <w:sz w:val="26"/>
                <w:szCs w:val="26"/>
              </w:rPr>
              <w:t>Grade 3 late toxicity</w:t>
            </w:r>
            <w:r w:rsidRPr="00EC477E">
              <w:rPr>
                <w:rFonts w:eastAsia="標楷體"/>
                <w:sz w:val="26"/>
                <w:szCs w:val="26"/>
              </w:rPr>
              <w:t>機率小於</w:t>
            </w:r>
            <w:r w:rsidRPr="00EC477E">
              <w:rPr>
                <w:rFonts w:eastAsia="標楷體"/>
                <w:sz w:val="26"/>
                <w:szCs w:val="26"/>
              </w:rPr>
              <w:t xml:space="preserve">15% </w:t>
            </w:r>
            <w:r w:rsidRPr="00EC477E">
              <w:rPr>
                <w:rFonts w:eastAsia="標楷體"/>
                <w:sz w:val="26"/>
                <w:szCs w:val="26"/>
              </w:rPr>
              <w:t>為參考基準</w:t>
            </w:r>
            <w:r w:rsidRPr="00EC477E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V</w:t>
            </w:r>
            <w:r w:rsidRPr="00EC477E">
              <w:rPr>
                <w:rFonts w:eastAsia="標楷體"/>
                <w:kern w:val="0"/>
                <w:sz w:val="26"/>
                <w:szCs w:val="26"/>
                <w:vertAlign w:val="subscript"/>
              </w:rPr>
              <w:t>65Gy</w:t>
            </w:r>
            <w:r w:rsidRPr="00EC477E">
              <w:rPr>
                <w:rFonts w:eastAsia="標楷體"/>
                <w:kern w:val="0"/>
                <w:sz w:val="26"/>
                <w:szCs w:val="26"/>
              </w:rPr>
              <w:t>&lt; 50%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V</w:t>
            </w:r>
            <w:r w:rsidRPr="00EC477E">
              <w:rPr>
                <w:rFonts w:eastAsia="標楷體"/>
                <w:kern w:val="0"/>
                <w:sz w:val="26"/>
                <w:szCs w:val="26"/>
                <w:vertAlign w:val="subscript"/>
              </w:rPr>
              <w:t>70Gy</w:t>
            </w:r>
            <w:r w:rsidRPr="00EC477E">
              <w:rPr>
                <w:rFonts w:eastAsia="標楷體"/>
                <w:kern w:val="0"/>
                <w:sz w:val="26"/>
                <w:szCs w:val="26"/>
              </w:rPr>
              <w:t>&lt; 35%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V</w:t>
            </w:r>
            <w:r w:rsidRPr="00EC477E">
              <w:rPr>
                <w:rFonts w:eastAsia="標楷體"/>
                <w:kern w:val="0"/>
                <w:sz w:val="26"/>
                <w:szCs w:val="26"/>
                <w:vertAlign w:val="subscript"/>
              </w:rPr>
              <w:t>75Gy</w:t>
            </w:r>
            <w:r w:rsidRPr="00EC477E">
              <w:rPr>
                <w:rFonts w:eastAsia="標楷體"/>
                <w:kern w:val="0"/>
                <w:sz w:val="26"/>
                <w:szCs w:val="26"/>
              </w:rPr>
              <w:t>&lt; 25%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V</w:t>
            </w:r>
            <w:r w:rsidRPr="00EC477E">
              <w:rPr>
                <w:rFonts w:eastAsia="標楷體"/>
                <w:kern w:val="0"/>
                <w:sz w:val="26"/>
                <w:szCs w:val="26"/>
                <w:vertAlign w:val="subscript"/>
              </w:rPr>
              <w:t>80Gy</w:t>
            </w:r>
            <w:r w:rsidRPr="00EC477E">
              <w:rPr>
                <w:rFonts w:eastAsia="標楷體"/>
                <w:kern w:val="0"/>
                <w:sz w:val="26"/>
                <w:szCs w:val="26"/>
              </w:rPr>
              <w:t>&lt; 15%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Penile bulb</w:t>
            </w:r>
            <w:r w:rsidRPr="00EC477E">
              <w:rPr>
                <w:rFonts w:eastAsia="標楷體"/>
                <w:sz w:val="26"/>
                <w:szCs w:val="26"/>
              </w:rPr>
              <w:t xml:space="preserve"> (</w:t>
            </w:r>
            <w:r w:rsidRPr="00EC477E">
              <w:rPr>
                <w:rFonts w:eastAsia="標楷體"/>
                <w:sz w:val="26"/>
                <w:szCs w:val="26"/>
              </w:rPr>
              <w:t>以</w:t>
            </w:r>
            <w:r w:rsidRPr="00EC477E">
              <w:rPr>
                <w:rFonts w:eastAsia="標楷體"/>
                <w:sz w:val="26"/>
                <w:szCs w:val="26"/>
              </w:rPr>
              <w:t>Severe penile dysfunction</w:t>
            </w:r>
            <w:r w:rsidRPr="00EC477E">
              <w:rPr>
                <w:rFonts w:eastAsia="標楷體"/>
                <w:sz w:val="26"/>
                <w:szCs w:val="26"/>
              </w:rPr>
              <w:t>小於</w:t>
            </w:r>
            <w:r w:rsidRPr="00EC477E">
              <w:rPr>
                <w:rFonts w:eastAsia="標楷體"/>
                <w:sz w:val="26"/>
                <w:szCs w:val="26"/>
              </w:rPr>
              <w:t>35%</w:t>
            </w:r>
            <w:r w:rsidRPr="00EC477E">
              <w:rPr>
                <w:rFonts w:eastAsia="標楷體"/>
                <w:sz w:val="26"/>
                <w:szCs w:val="26"/>
              </w:rPr>
              <w:t>為參考基準</w:t>
            </w:r>
            <w:r w:rsidRPr="00EC477E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Mean dose to 95% of gland &lt; 50 Gy</w:t>
            </w:r>
          </w:p>
        </w:tc>
      </w:tr>
      <w:tr w:rsidR="00F4347A" w:rsidRPr="00EC477E" w:rsidTr="0059557A">
        <w:tc>
          <w:tcPr>
            <w:tcW w:w="7196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590" w:type="dxa"/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26"/>
                <w:szCs w:val="26"/>
              </w:rPr>
            </w:pPr>
            <w:r w:rsidRPr="00EC477E">
              <w:rPr>
                <w:rFonts w:eastAsia="標楷體"/>
                <w:kern w:val="0"/>
                <w:sz w:val="26"/>
                <w:szCs w:val="26"/>
              </w:rPr>
              <w:t>D90 &lt; 50 Gy</w:t>
            </w:r>
          </w:p>
        </w:tc>
      </w:tr>
    </w:tbl>
    <w:p w:rsidR="00F4347A" w:rsidRPr="00EC477E" w:rsidRDefault="00F4347A" w:rsidP="00F4347A">
      <w:pPr>
        <w:tabs>
          <w:tab w:val="left" w:pos="12972"/>
        </w:tabs>
        <w:rPr>
          <w:rFonts w:eastAsia="標楷體"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sz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sz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8"/>
          <w:szCs w:val="28"/>
        </w:rPr>
      </w:pPr>
      <w:r w:rsidRPr="00EC477E">
        <w:rPr>
          <w:rFonts w:eastAsia="標楷體"/>
          <w:b/>
          <w:bCs/>
          <w:sz w:val="28"/>
          <w:szCs w:val="28"/>
        </w:rPr>
        <w:t>根治性</w:t>
      </w:r>
      <w:r w:rsidRPr="00EC477E">
        <w:rPr>
          <w:rFonts w:eastAsia="標楷體"/>
          <w:b/>
          <w:sz w:val="28"/>
          <w:szCs w:val="28"/>
        </w:rPr>
        <w:t>攝護腺</w:t>
      </w:r>
      <w:r w:rsidRPr="00EC477E">
        <w:rPr>
          <w:rFonts w:eastAsia="標楷體"/>
          <w:b/>
          <w:bCs/>
          <w:sz w:val="28"/>
          <w:szCs w:val="28"/>
        </w:rPr>
        <w:t>癌放射治療常見之副作用及程度分級</w:t>
      </w:r>
      <w:r w:rsidRPr="00EC477E">
        <w:rPr>
          <w:rFonts w:eastAsia="標楷體"/>
          <w:b/>
          <w:bCs/>
          <w:sz w:val="28"/>
          <w:szCs w:val="28"/>
        </w:rPr>
        <w:t>:</w:t>
      </w: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2"/>
          <w:szCs w:val="22"/>
        </w:rPr>
      </w:pPr>
      <w:r w:rsidRPr="00EC477E">
        <w:rPr>
          <w:rFonts w:eastAsia="標楷體"/>
          <w:b/>
          <w:bCs/>
          <w:sz w:val="22"/>
          <w:szCs w:val="22"/>
        </w:rPr>
        <w:t xml:space="preserve">                                   CTCAE 4.03-June 14,2010</w:t>
      </w:r>
    </w:p>
    <w:tbl>
      <w:tblPr>
        <w:tblpPr w:leftFromText="180" w:rightFromText="180" w:vertAnchor="text" w:horzAnchor="margin" w:tblpY="236"/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58"/>
        <w:gridCol w:w="1984"/>
        <w:gridCol w:w="1701"/>
        <w:gridCol w:w="1843"/>
        <w:gridCol w:w="1843"/>
        <w:gridCol w:w="1701"/>
        <w:gridCol w:w="850"/>
      </w:tblGrid>
      <w:tr w:rsidR="00F4347A" w:rsidRPr="00EC477E" w:rsidTr="0059557A">
        <w:trPr>
          <w:cantSplit/>
          <w:trHeight w:val="328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bCs/>
                <w:sz w:val="16"/>
                <w:szCs w:val="16"/>
              </w:rPr>
            </w:pPr>
            <w:r w:rsidRPr="00EC477E">
              <w:rPr>
                <w:rFonts w:eastAsia="標楷體"/>
                <w:b/>
                <w:bCs/>
                <w:sz w:val="16"/>
                <w:szCs w:val="16"/>
              </w:rPr>
              <w:t>Definitions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>A brief definition is provided to clarify the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>meaning of each AE term.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Cs/>
                <w:sz w:val="16"/>
                <w:szCs w:val="16"/>
              </w:rPr>
            </w:pPr>
          </w:p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bCs/>
                <w:sz w:val="16"/>
                <w:szCs w:val="16"/>
              </w:rPr>
            </w:pPr>
            <w:r w:rsidRPr="00EC477E">
              <w:rPr>
                <w:rFonts w:eastAsia="標楷體"/>
                <w:b/>
                <w:bCs/>
                <w:sz w:val="16"/>
                <w:szCs w:val="16"/>
              </w:rPr>
              <w:t>Grades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>Grade refers to the severity of the AE. The CTCAE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>displays Grade 1 through 5 with unique clinical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descriptions of severity for each AE based on this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>general guideline: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Cs/>
                <w:sz w:val="16"/>
                <w:szCs w:val="16"/>
              </w:rPr>
            </w:pP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Grade 1  Mild;  asymptomatic or mild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lastRenderedPageBreak/>
              <w:t xml:space="preserve">           symptoms; clinical or diagnostic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>indicated.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Grade 2  Moderate; minimal, local or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        noninvasive intervention indicated;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        limiting age-appropriate instrumental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        ADL.*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Grade 3  Severe or medically significant but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        not immediately life-threatening;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        hospitalization or prolongation of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        hospitalization indicated; disabling;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>limitingself care ADL**.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 xml:space="preserve">   Grade 4  Life-threatening consequences;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>urgent intervention indicated.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360" w:lineRule="auto"/>
              <w:ind w:firstLineChars="150" w:firstLine="240"/>
              <w:rPr>
                <w:rFonts w:eastAsia="標楷體"/>
                <w:bCs/>
                <w:sz w:val="16"/>
                <w:szCs w:val="16"/>
              </w:rPr>
            </w:pPr>
            <w:r w:rsidRPr="00EC477E">
              <w:rPr>
                <w:rFonts w:eastAsia="標楷體"/>
                <w:bCs/>
                <w:sz w:val="16"/>
                <w:szCs w:val="16"/>
              </w:rPr>
              <w:t>Grade 5 Death related to AE.</w:t>
            </w: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6E6E6"/>
          </w:tcPr>
          <w:p w:rsidR="00F4347A" w:rsidRPr="00EC477E" w:rsidRDefault="00F4347A" w:rsidP="0059557A">
            <w:pPr>
              <w:tabs>
                <w:tab w:val="left" w:pos="12972"/>
              </w:tabs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</w:p>
        </w:tc>
        <w:tc>
          <w:tcPr>
            <w:tcW w:w="7938" w:type="dxa"/>
            <w:gridSpan w:val="5"/>
            <w:shd w:val="clear" w:color="auto" w:fill="E6E6E6"/>
          </w:tcPr>
          <w:p w:rsidR="00F4347A" w:rsidRPr="00EC477E" w:rsidRDefault="00F4347A" w:rsidP="001464EF">
            <w:pPr>
              <w:tabs>
                <w:tab w:val="left" w:pos="12972"/>
              </w:tabs>
              <w:spacing w:beforeLines="25"/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Grade</w:t>
            </w:r>
          </w:p>
        </w:tc>
      </w:tr>
      <w:tr w:rsidR="00F4347A" w:rsidRPr="00EC477E" w:rsidTr="0059557A">
        <w:trPr>
          <w:cantSplit/>
          <w:trHeight w:val="345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4347A" w:rsidRPr="00EC477E" w:rsidRDefault="00F4347A" w:rsidP="001464EF">
            <w:pPr>
              <w:tabs>
                <w:tab w:val="left" w:pos="12972"/>
              </w:tabs>
              <w:spacing w:beforeLines="50"/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Adverse Event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F4347A" w:rsidRPr="00EC477E" w:rsidRDefault="00F4347A" w:rsidP="001464EF">
            <w:pPr>
              <w:tabs>
                <w:tab w:val="left" w:pos="12972"/>
              </w:tabs>
              <w:spacing w:beforeLines="50"/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F4347A" w:rsidRPr="00EC477E" w:rsidRDefault="00F4347A" w:rsidP="001464EF">
            <w:pPr>
              <w:tabs>
                <w:tab w:val="left" w:pos="12972"/>
              </w:tabs>
              <w:spacing w:beforeLines="50"/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F4347A" w:rsidRPr="00EC477E" w:rsidRDefault="00F4347A" w:rsidP="001464EF">
            <w:pPr>
              <w:tabs>
                <w:tab w:val="left" w:pos="12972"/>
              </w:tabs>
              <w:spacing w:beforeLines="50"/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F4347A" w:rsidRPr="00EC477E" w:rsidRDefault="00F4347A" w:rsidP="001464EF">
            <w:pPr>
              <w:tabs>
                <w:tab w:val="left" w:pos="12972"/>
              </w:tabs>
              <w:spacing w:beforeLines="50"/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F4347A" w:rsidRPr="00EC477E" w:rsidRDefault="00F4347A" w:rsidP="001464EF">
            <w:pPr>
              <w:tabs>
                <w:tab w:val="left" w:pos="12972"/>
              </w:tabs>
              <w:spacing w:beforeLines="50"/>
              <w:jc w:val="center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5</w:t>
            </w:r>
          </w:p>
        </w:tc>
      </w:tr>
      <w:tr w:rsidR="00F4347A" w:rsidRPr="00EC477E" w:rsidTr="0059557A">
        <w:trPr>
          <w:cantSplit/>
          <w:trHeight w:val="491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sz w:val="12"/>
                <w:szCs w:val="12"/>
              </w:rPr>
              <w:t>Bladder perforation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Extraperitoneal perforation,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Indwelling catheter indicated 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Intraperitoneal perforation;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elective radiologic,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endoscopic or operative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intervention indicated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Life-threatening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consequences, organ failure;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urgent operative intervention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indicated</w:t>
            </w:r>
          </w:p>
        </w:tc>
        <w:tc>
          <w:tcPr>
            <w:tcW w:w="850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Death</w:t>
            </w:r>
          </w:p>
        </w:tc>
      </w:tr>
      <w:tr w:rsidR="00F4347A" w:rsidRPr="00EC477E" w:rsidTr="0059557A">
        <w:trPr>
          <w:cantSplit/>
          <w:trHeight w:val="224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Definition: A disorder characterized by a rupture in the bladder wall.</w:t>
            </w:r>
          </w:p>
        </w:tc>
      </w:tr>
      <w:tr w:rsidR="00F4347A" w:rsidRPr="00EC477E" w:rsidTr="0059557A">
        <w:trPr>
          <w:cantSplit/>
          <w:trHeight w:val="420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sz w:val="12"/>
                <w:szCs w:val="12"/>
              </w:rPr>
              <w:t>Bladder spasm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Intervention not indicated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Antispasmodics indicated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Hospitalization indicated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-</w:t>
            </w:r>
          </w:p>
        </w:tc>
      </w:tr>
      <w:tr w:rsidR="00F4347A" w:rsidRPr="00EC477E" w:rsidTr="0059557A">
        <w:trPr>
          <w:cantSplit/>
          <w:trHeight w:val="207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Definition: A disorder characterized by a sudden and involuntary contraction of the bladder wall.</w:t>
            </w:r>
          </w:p>
        </w:tc>
      </w:tr>
      <w:tr w:rsidR="00F4347A" w:rsidRPr="00EC477E" w:rsidTr="0059557A">
        <w:trPr>
          <w:cantSplit/>
          <w:trHeight w:val="499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Abdominal distension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Asymptomatic; clinical or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diagnostic observations only;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intervention not indicated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Symptomatic ; limiting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Instrumental ADL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Severe discomfort; limiting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self care ADL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-</w:t>
            </w:r>
          </w:p>
        </w:tc>
      </w:tr>
      <w:tr w:rsidR="00F4347A" w:rsidRPr="00EC477E" w:rsidTr="0059557A">
        <w:trPr>
          <w:cantSplit/>
          <w:trHeight w:val="224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Definition: A disorder characterized by swelling of abdomen</w:t>
            </w:r>
          </w:p>
        </w:tc>
      </w:tr>
      <w:tr w:rsidR="00F4347A" w:rsidRPr="00EC477E" w:rsidTr="0059557A">
        <w:trPr>
          <w:cantSplit/>
          <w:trHeight w:val="411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Abdominal pain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Mild pain 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Moderate pain; limiting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instrumental ADL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Severe pain; limiting self cate ADL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- </w:t>
            </w:r>
          </w:p>
        </w:tc>
        <w:tc>
          <w:tcPr>
            <w:tcW w:w="850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/>
                <w:bCs/>
                <w:sz w:val="12"/>
                <w:szCs w:val="12"/>
              </w:rPr>
              <w:t>-</w:t>
            </w:r>
          </w:p>
        </w:tc>
      </w:tr>
      <w:tr w:rsidR="00F4347A" w:rsidRPr="00EC477E" w:rsidTr="0059557A">
        <w:trPr>
          <w:cantSplit/>
          <w:trHeight w:val="224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Definition: A disorder characterized by a sensation of marked discomfort in the abdominal region.</w:t>
            </w:r>
          </w:p>
        </w:tc>
      </w:tr>
      <w:tr w:rsidR="00F4347A" w:rsidRPr="00EC477E" w:rsidTr="0059557A">
        <w:trPr>
          <w:cantSplit/>
          <w:trHeight w:val="760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Anal fistula 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Asymptomatic; clinical or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diagnostic observations only;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intervention not indicated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Symptomatic; altered GI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function 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Severely altered GI funtion;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Tube feeding, TPN or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hospitalization indicated;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elective operative intervention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indicated 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Life-threatening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consequences; urgent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intervention indicated</w:t>
            </w:r>
          </w:p>
        </w:tc>
        <w:tc>
          <w:tcPr>
            <w:tcW w:w="850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Death</w:t>
            </w:r>
          </w:p>
        </w:tc>
      </w:tr>
      <w:tr w:rsidR="00F4347A" w:rsidRPr="00EC477E" w:rsidTr="0059557A">
        <w:trPr>
          <w:cantSplit/>
          <w:trHeight w:val="345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Definition: A disorder characterized by an abnormal communication between the opening in the anal canal to the perianal skin.  </w:t>
            </w:r>
          </w:p>
        </w:tc>
      </w:tr>
      <w:tr w:rsidR="00F4347A" w:rsidRPr="00EC477E" w:rsidTr="0059557A">
        <w:trPr>
          <w:cantSplit/>
          <w:trHeight w:val="635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Anal hemorrhage 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Mild; intervention not indicated 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Moderate symptoms; medical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intervention or minor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cauterization indicated 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Transfusion, radiologic,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endoscopic, or elective 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operative intervention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indicated 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Life-threatening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consequences; urgent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intervention indicated</w:t>
            </w:r>
          </w:p>
        </w:tc>
        <w:tc>
          <w:tcPr>
            <w:tcW w:w="850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Death</w:t>
            </w:r>
          </w:p>
        </w:tc>
      </w:tr>
      <w:tr w:rsidR="00F4347A" w:rsidRPr="00EC477E" w:rsidTr="0059557A">
        <w:trPr>
          <w:cantSplit/>
          <w:trHeight w:val="345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Definition: A disorder characterized by bleeding from the anal region.</w:t>
            </w:r>
          </w:p>
        </w:tc>
      </w:tr>
      <w:tr w:rsidR="00F4347A" w:rsidRPr="00EC477E" w:rsidTr="0059557A">
        <w:trPr>
          <w:cantSplit/>
          <w:trHeight w:val="635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Anal micrositis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Asymptomatic or mild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symptoms; intervention not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 xml:space="preserve">indicated 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Symptomatic; medical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intervention indicated; limiting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instrumental ADL</w:t>
            </w:r>
          </w:p>
        </w:tc>
        <w:tc>
          <w:tcPr>
            <w:tcW w:w="1843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Severe symptoms; limiting self care ADL</w:t>
            </w:r>
          </w:p>
        </w:tc>
        <w:tc>
          <w:tcPr>
            <w:tcW w:w="1701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Life-threatening consequences; urgent</w:t>
            </w:r>
          </w:p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intervention indicated</w:t>
            </w:r>
          </w:p>
        </w:tc>
        <w:tc>
          <w:tcPr>
            <w:tcW w:w="850" w:type="dxa"/>
            <w:tcBorders>
              <w:bottom w:val="nil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spacing w:line="0" w:lineRule="atLeast"/>
              <w:rPr>
                <w:rFonts w:eastAsia="標楷體"/>
                <w:bCs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Death</w:t>
            </w:r>
          </w:p>
        </w:tc>
      </w:tr>
      <w:tr w:rsidR="00F4347A" w:rsidRPr="00EC477E" w:rsidTr="0059557A">
        <w:trPr>
          <w:cantSplit/>
          <w:trHeight w:val="345"/>
        </w:trPr>
        <w:tc>
          <w:tcPr>
            <w:tcW w:w="35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4" w:space="0" w:color="auto"/>
            </w:tcBorders>
          </w:tcPr>
          <w:p w:rsidR="00F4347A" w:rsidRPr="00EC477E" w:rsidRDefault="00F4347A" w:rsidP="0059557A">
            <w:pPr>
              <w:tabs>
                <w:tab w:val="left" w:pos="12972"/>
              </w:tabs>
              <w:rPr>
                <w:rFonts w:eastAsia="標楷體"/>
                <w:b/>
                <w:sz w:val="12"/>
                <w:szCs w:val="12"/>
              </w:rPr>
            </w:pPr>
            <w:r w:rsidRPr="00EC477E">
              <w:rPr>
                <w:rFonts w:eastAsia="標楷體"/>
                <w:bCs/>
                <w:sz w:val="12"/>
                <w:szCs w:val="12"/>
              </w:rPr>
              <w:t>Definition: A disorder characterized by inflammation of the mucous membrane of the anus.</w:t>
            </w:r>
          </w:p>
        </w:tc>
      </w:tr>
    </w:tbl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F4347A" w:rsidRPr="00EC477E" w:rsidRDefault="00F4347A" w:rsidP="00F4347A">
      <w:pPr>
        <w:tabs>
          <w:tab w:val="left" w:pos="12972"/>
        </w:tabs>
        <w:rPr>
          <w:rFonts w:eastAsia="標楷體"/>
          <w:b/>
          <w:bCs/>
          <w:sz w:val="28"/>
          <w:szCs w:val="28"/>
        </w:rPr>
      </w:pPr>
      <w:r w:rsidRPr="00EC477E">
        <w:rPr>
          <w:rFonts w:eastAsia="標楷體"/>
          <w:b/>
          <w:sz w:val="28"/>
          <w:szCs w:val="28"/>
        </w:rPr>
        <w:t>攝護腺癌</w:t>
      </w:r>
      <w:r w:rsidRPr="00EC477E">
        <w:rPr>
          <w:rFonts w:eastAsia="標楷體"/>
          <w:b/>
          <w:bCs/>
          <w:sz w:val="28"/>
          <w:szCs w:val="28"/>
        </w:rPr>
        <w:t>放射治療可能副作用與處置</w:t>
      </w:r>
    </w:p>
    <w:p w:rsidR="00F4347A" w:rsidRPr="00EC477E" w:rsidRDefault="00F4347A" w:rsidP="00F4347A">
      <w:pPr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攝護腺癌放射治療可能之副作用：發生之可能性或嚴重度與手術、</w:t>
      </w:r>
      <w:r w:rsidRPr="00EC477E">
        <w:rPr>
          <w:rFonts w:eastAsia="標楷體"/>
          <w:bCs/>
          <w:sz w:val="26"/>
          <w:szCs w:val="26"/>
        </w:rPr>
        <w:t>放射劑量</w:t>
      </w:r>
      <w:r w:rsidRPr="00EC477E">
        <w:rPr>
          <w:rFonts w:eastAsia="標楷體"/>
          <w:sz w:val="26"/>
          <w:szCs w:val="26"/>
        </w:rPr>
        <w:t>、照射範圍、腫瘤期別、治療年齡與個體差異有關聯。</w:t>
      </w:r>
    </w:p>
    <w:p w:rsidR="00F4347A" w:rsidRPr="00EC477E" w:rsidRDefault="00F4347A" w:rsidP="00F4347A">
      <w:pPr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一、急性副作用</w:t>
      </w:r>
      <w:r w:rsidRPr="00EC477E">
        <w:rPr>
          <w:rFonts w:eastAsia="標楷體"/>
          <w:sz w:val="26"/>
          <w:szCs w:val="26"/>
        </w:rPr>
        <w:t>(</w:t>
      </w:r>
      <w:r w:rsidRPr="00EC477E">
        <w:rPr>
          <w:rFonts w:eastAsia="標楷體"/>
          <w:sz w:val="26"/>
          <w:szCs w:val="26"/>
        </w:rPr>
        <w:t>放射治療結束後個</w:t>
      </w:r>
      <w:r w:rsidRPr="00EC477E">
        <w:rPr>
          <w:rFonts w:eastAsia="標楷體"/>
          <w:sz w:val="26"/>
          <w:szCs w:val="26"/>
        </w:rPr>
        <w:t>3</w:t>
      </w:r>
      <w:r w:rsidRPr="00EC477E">
        <w:rPr>
          <w:rFonts w:eastAsia="標楷體"/>
          <w:sz w:val="26"/>
          <w:szCs w:val="26"/>
        </w:rPr>
        <w:t>月內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：</w:t>
      </w:r>
    </w:p>
    <w:p w:rsidR="00F4347A" w:rsidRPr="00EC477E" w:rsidRDefault="00F4347A" w:rsidP="00F4347A">
      <w:pPr>
        <w:ind w:left="48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(</w:t>
      </w:r>
      <w:r w:rsidRPr="00EC477E">
        <w:rPr>
          <w:rFonts w:eastAsia="標楷體"/>
          <w:sz w:val="26"/>
          <w:szCs w:val="26"/>
        </w:rPr>
        <w:t>一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以照射區域之大小腸、膀胱及皮膚為主</w:t>
      </w:r>
      <w:r w:rsidRPr="00EC477E">
        <w:rPr>
          <w:rFonts w:eastAsia="標楷體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包括食欲不振、腹瀉、腹痛、頻便、頻尿、小便疼痛、肛門疼痛及皮膚反應。</w:t>
      </w:r>
    </w:p>
    <w:p w:rsidR="00F4347A" w:rsidRPr="00EC477E" w:rsidRDefault="00F4347A" w:rsidP="00F4347A">
      <w:pPr>
        <w:ind w:left="48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(</w:t>
      </w:r>
      <w:r w:rsidRPr="00EC477E">
        <w:rPr>
          <w:rFonts w:eastAsia="標楷體"/>
          <w:sz w:val="26"/>
          <w:szCs w:val="26"/>
        </w:rPr>
        <w:t>二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治療結束後</w:t>
      </w:r>
      <w:r w:rsidRPr="00EC477E">
        <w:rPr>
          <w:rFonts w:eastAsia="標楷體"/>
          <w:sz w:val="26"/>
          <w:szCs w:val="26"/>
        </w:rPr>
        <w:t>2</w:t>
      </w:r>
      <w:r w:rsidRPr="00EC477E">
        <w:rPr>
          <w:rFonts w:eastAsia="標楷體"/>
          <w:sz w:val="26"/>
          <w:szCs w:val="26"/>
        </w:rPr>
        <w:t>至</w:t>
      </w:r>
      <w:r w:rsidRPr="00EC477E">
        <w:rPr>
          <w:rFonts w:eastAsia="標楷體"/>
          <w:sz w:val="26"/>
          <w:szCs w:val="26"/>
        </w:rPr>
        <w:t>4</w:t>
      </w:r>
      <w:r w:rsidRPr="00EC477E">
        <w:rPr>
          <w:rFonts w:eastAsia="標楷體"/>
          <w:sz w:val="26"/>
          <w:szCs w:val="26"/>
        </w:rPr>
        <w:t>週後，症狀會逐步改善。</w:t>
      </w:r>
    </w:p>
    <w:p w:rsidR="00F4347A" w:rsidRPr="00EC477E" w:rsidRDefault="00F4347A" w:rsidP="00F4347A">
      <w:pPr>
        <w:ind w:left="48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(</w:t>
      </w:r>
      <w:r w:rsidRPr="00EC477E">
        <w:rPr>
          <w:rFonts w:eastAsia="標楷體"/>
          <w:sz w:val="26"/>
          <w:szCs w:val="26"/>
        </w:rPr>
        <w:t>三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放射治療中，病患必須每周接受主治醫師之門診檢查，監測急性副作用的程度，必要時施予藥物症狀治療。</w:t>
      </w:r>
    </w:p>
    <w:p w:rsidR="00F4347A" w:rsidRPr="00EC477E" w:rsidRDefault="00F4347A" w:rsidP="00F4347A">
      <w:pPr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二、慢性副作用</w:t>
      </w:r>
      <w:r w:rsidRPr="00EC477E">
        <w:rPr>
          <w:rFonts w:eastAsia="標楷體"/>
          <w:sz w:val="26"/>
          <w:szCs w:val="26"/>
        </w:rPr>
        <w:t>(</w:t>
      </w:r>
      <w:r w:rsidRPr="00EC477E">
        <w:rPr>
          <w:rFonts w:eastAsia="標楷體"/>
          <w:sz w:val="26"/>
          <w:szCs w:val="26"/>
        </w:rPr>
        <w:t>放射治療結束後超過</w:t>
      </w:r>
      <w:r w:rsidRPr="00EC477E">
        <w:rPr>
          <w:rFonts w:eastAsia="標楷體"/>
          <w:sz w:val="26"/>
          <w:szCs w:val="26"/>
        </w:rPr>
        <w:t>3</w:t>
      </w:r>
      <w:r w:rsidRPr="00EC477E">
        <w:rPr>
          <w:rFonts w:eastAsia="標楷體"/>
          <w:sz w:val="26"/>
          <w:szCs w:val="26"/>
        </w:rPr>
        <w:t>個月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：</w:t>
      </w:r>
    </w:p>
    <w:p w:rsidR="00F4347A" w:rsidRPr="00EC477E" w:rsidRDefault="00F4347A" w:rsidP="00F4347A">
      <w:pPr>
        <w:ind w:left="48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lastRenderedPageBreak/>
        <w:t>(</w:t>
      </w:r>
      <w:r w:rsidRPr="00EC477E">
        <w:rPr>
          <w:rFonts w:eastAsia="標楷體"/>
          <w:sz w:val="26"/>
          <w:szCs w:val="26"/>
        </w:rPr>
        <w:t>一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出血性直腸炎</w:t>
      </w:r>
      <w:r w:rsidRPr="00EC477E">
        <w:rPr>
          <w:rFonts w:eastAsia="標楷體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發生機會</w:t>
      </w:r>
      <w:r w:rsidRPr="00EC477E">
        <w:rPr>
          <w:rFonts w:eastAsia="標楷體"/>
          <w:sz w:val="26"/>
          <w:szCs w:val="26"/>
        </w:rPr>
        <w:t>(2</w:t>
      </w:r>
      <w:r w:rsidRPr="00EC477E">
        <w:rPr>
          <w:rFonts w:eastAsia="標楷體"/>
          <w:sz w:val="26"/>
          <w:szCs w:val="26"/>
        </w:rPr>
        <w:t>至</w:t>
      </w:r>
      <w:r w:rsidRPr="00EC477E">
        <w:rPr>
          <w:rFonts w:eastAsia="標楷體"/>
          <w:sz w:val="26"/>
          <w:szCs w:val="26"/>
        </w:rPr>
        <w:t>4</w:t>
      </w:r>
      <w:r w:rsidRPr="00EC477E">
        <w:rPr>
          <w:rFonts w:eastAsia="標楷體"/>
          <w:sz w:val="26"/>
          <w:szCs w:val="26"/>
        </w:rPr>
        <w:t>級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在</w:t>
      </w:r>
      <w:r w:rsidRPr="00EC477E">
        <w:rPr>
          <w:rFonts w:eastAsia="標楷體"/>
          <w:sz w:val="26"/>
          <w:szCs w:val="26"/>
        </w:rPr>
        <w:t xml:space="preserve">20% </w:t>
      </w:r>
      <w:r w:rsidRPr="00EC477E">
        <w:rPr>
          <w:rFonts w:eastAsia="標楷體"/>
          <w:sz w:val="26"/>
          <w:szCs w:val="26"/>
        </w:rPr>
        <w:t>以下。</w:t>
      </w:r>
    </w:p>
    <w:p w:rsidR="00F4347A" w:rsidRPr="00EC477E" w:rsidRDefault="00F4347A" w:rsidP="00F4347A">
      <w:pPr>
        <w:ind w:left="48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(</w:t>
      </w:r>
      <w:r w:rsidRPr="00EC477E">
        <w:rPr>
          <w:rFonts w:eastAsia="標楷體"/>
          <w:sz w:val="26"/>
          <w:szCs w:val="26"/>
        </w:rPr>
        <w:t>二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出血性膀胱炎</w:t>
      </w:r>
      <w:r w:rsidRPr="00EC477E">
        <w:rPr>
          <w:rFonts w:eastAsia="標楷體" w:hint="eastAsia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較嚴重的發生機會</w:t>
      </w:r>
      <w:r w:rsidRPr="00EC477E">
        <w:rPr>
          <w:rFonts w:eastAsia="標楷體"/>
          <w:sz w:val="26"/>
          <w:szCs w:val="26"/>
        </w:rPr>
        <w:t>(3</w:t>
      </w:r>
      <w:r w:rsidRPr="00EC477E">
        <w:rPr>
          <w:rFonts w:eastAsia="標楷體"/>
          <w:sz w:val="26"/>
          <w:szCs w:val="26"/>
        </w:rPr>
        <w:t>至</w:t>
      </w:r>
      <w:r w:rsidRPr="00EC477E">
        <w:rPr>
          <w:rFonts w:eastAsia="標楷體"/>
          <w:sz w:val="26"/>
          <w:szCs w:val="26"/>
        </w:rPr>
        <w:t>4</w:t>
      </w:r>
      <w:r w:rsidRPr="00EC477E">
        <w:rPr>
          <w:rFonts w:eastAsia="標楷體"/>
          <w:sz w:val="26"/>
          <w:szCs w:val="26"/>
        </w:rPr>
        <w:t>級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在</w:t>
      </w:r>
      <w:r w:rsidRPr="00EC477E">
        <w:rPr>
          <w:rFonts w:eastAsia="標楷體"/>
          <w:sz w:val="26"/>
          <w:szCs w:val="26"/>
        </w:rPr>
        <w:t xml:space="preserve">5% </w:t>
      </w:r>
      <w:r w:rsidRPr="00EC477E">
        <w:rPr>
          <w:rFonts w:eastAsia="標楷體"/>
          <w:sz w:val="26"/>
          <w:szCs w:val="26"/>
        </w:rPr>
        <w:t>以下。</w:t>
      </w:r>
    </w:p>
    <w:p w:rsidR="00F4347A" w:rsidRPr="00EC477E" w:rsidRDefault="00F4347A" w:rsidP="00F4347A">
      <w:pPr>
        <w:ind w:left="48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(</w:t>
      </w:r>
      <w:r w:rsidRPr="00EC477E">
        <w:rPr>
          <w:rFonts w:eastAsia="標楷體"/>
          <w:sz w:val="26"/>
          <w:szCs w:val="26"/>
        </w:rPr>
        <w:t>三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放射性腸炎</w:t>
      </w:r>
      <w:r w:rsidRPr="00EC477E">
        <w:rPr>
          <w:rFonts w:eastAsia="標楷體" w:hint="eastAsia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較嚴重的發生機會</w:t>
      </w:r>
      <w:r w:rsidRPr="00EC477E">
        <w:rPr>
          <w:rFonts w:eastAsia="標楷體"/>
          <w:sz w:val="26"/>
          <w:szCs w:val="26"/>
        </w:rPr>
        <w:t>(3</w:t>
      </w:r>
      <w:r w:rsidRPr="00EC477E">
        <w:rPr>
          <w:rFonts w:eastAsia="標楷體"/>
          <w:sz w:val="26"/>
          <w:szCs w:val="26"/>
        </w:rPr>
        <w:t>至</w:t>
      </w:r>
      <w:r w:rsidRPr="00EC477E">
        <w:rPr>
          <w:rFonts w:eastAsia="標楷體"/>
          <w:sz w:val="26"/>
          <w:szCs w:val="26"/>
        </w:rPr>
        <w:t>4</w:t>
      </w:r>
      <w:r w:rsidRPr="00EC477E">
        <w:rPr>
          <w:rFonts w:eastAsia="標楷體"/>
          <w:sz w:val="26"/>
          <w:szCs w:val="26"/>
        </w:rPr>
        <w:t>級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在</w:t>
      </w:r>
      <w:r w:rsidRPr="00EC477E">
        <w:rPr>
          <w:rFonts w:eastAsia="標楷體"/>
          <w:sz w:val="26"/>
          <w:szCs w:val="26"/>
        </w:rPr>
        <w:t xml:space="preserve">5% </w:t>
      </w:r>
      <w:r w:rsidRPr="00EC477E">
        <w:rPr>
          <w:rFonts w:eastAsia="標楷體"/>
          <w:sz w:val="26"/>
          <w:szCs w:val="26"/>
        </w:rPr>
        <w:t>以下。</w:t>
      </w:r>
    </w:p>
    <w:p w:rsidR="00F4347A" w:rsidRPr="00EC477E" w:rsidRDefault="00F4347A" w:rsidP="00F4347A">
      <w:pPr>
        <w:ind w:left="48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(</w:t>
      </w:r>
      <w:r w:rsidRPr="00EC477E">
        <w:rPr>
          <w:rFonts w:eastAsia="標楷體"/>
          <w:sz w:val="26"/>
          <w:szCs w:val="26"/>
        </w:rPr>
        <w:t>四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下肢水腫</w:t>
      </w:r>
      <w:r w:rsidRPr="00EC477E">
        <w:rPr>
          <w:rFonts w:eastAsia="標楷體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一般機會在</w:t>
      </w:r>
      <w:r w:rsidRPr="00EC477E">
        <w:rPr>
          <w:rFonts w:eastAsia="標楷體"/>
          <w:sz w:val="26"/>
          <w:szCs w:val="26"/>
        </w:rPr>
        <w:t xml:space="preserve">5% </w:t>
      </w:r>
      <w:r w:rsidRPr="00EC477E">
        <w:rPr>
          <w:rFonts w:eastAsia="標楷體"/>
          <w:sz w:val="26"/>
          <w:szCs w:val="26"/>
        </w:rPr>
        <w:t>以下。</w:t>
      </w:r>
    </w:p>
    <w:p w:rsidR="00F4347A" w:rsidRPr="00EC477E" w:rsidRDefault="00F4347A" w:rsidP="00F4347A">
      <w:pPr>
        <w:ind w:left="48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(</w:t>
      </w:r>
      <w:r w:rsidRPr="00EC477E">
        <w:rPr>
          <w:rFonts w:eastAsia="標楷體"/>
          <w:sz w:val="26"/>
          <w:szCs w:val="26"/>
        </w:rPr>
        <w:t>五</w:t>
      </w:r>
      <w:r w:rsidRPr="00EC477E">
        <w:rPr>
          <w:rFonts w:eastAsia="標楷體"/>
          <w:sz w:val="26"/>
          <w:szCs w:val="26"/>
        </w:rPr>
        <w:t>)</w:t>
      </w:r>
      <w:r w:rsidRPr="00EC477E">
        <w:rPr>
          <w:rFonts w:eastAsia="標楷體"/>
          <w:sz w:val="26"/>
          <w:szCs w:val="26"/>
        </w:rPr>
        <w:t>輸尿管纖維化</w:t>
      </w:r>
      <w:r w:rsidRPr="00EC477E">
        <w:rPr>
          <w:rFonts w:eastAsia="標楷體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一般機會在</w:t>
      </w:r>
      <w:r w:rsidRPr="00EC477E">
        <w:rPr>
          <w:rFonts w:eastAsia="標楷體"/>
          <w:sz w:val="26"/>
          <w:szCs w:val="26"/>
        </w:rPr>
        <w:t xml:space="preserve">5% </w:t>
      </w:r>
      <w:r w:rsidRPr="00EC477E">
        <w:rPr>
          <w:rFonts w:eastAsia="標楷體"/>
          <w:sz w:val="26"/>
          <w:szCs w:val="26"/>
        </w:rPr>
        <w:t>以下。</w:t>
      </w:r>
    </w:p>
    <w:p w:rsidR="00F4347A" w:rsidRPr="00EC477E" w:rsidRDefault="00F4347A" w:rsidP="00F4347A">
      <w:pPr>
        <w:tabs>
          <w:tab w:val="left" w:pos="12972"/>
        </w:tabs>
        <w:ind w:left="525" w:hangingChars="202" w:hanging="525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三、性功能障礙</w:t>
      </w:r>
      <w:r w:rsidRPr="00EC477E">
        <w:rPr>
          <w:rFonts w:eastAsia="標楷體" w:hint="eastAsia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據</w:t>
      </w:r>
      <w:r w:rsidRPr="00EC477E">
        <w:rPr>
          <w:rFonts w:eastAsia="標楷體"/>
          <w:sz w:val="26"/>
          <w:szCs w:val="26"/>
        </w:rPr>
        <w:t>University of Chicago</w:t>
      </w:r>
      <w:r w:rsidRPr="00EC477E">
        <w:rPr>
          <w:rFonts w:eastAsia="標楷體"/>
          <w:sz w:val="26"/>
          <w:szCs w:val="26"/>
        </w:rPr>
        <w:t>研究報告指出，經過放射線治療後</w:t>
      </w:r>
      <w:r w:rsidRPr="00EC477E">
        <w:rPr>
          <w:rFonts w:eastAsia="標楷體"/>
          <w:sz w:val="26"/>
          <w:szCs w:val="26"/>
        </w:rPr>
        <w:t>1</w:t>
      </w:r>
      <w:r w:rsidRPr="00EC477E">
        <w:rPr>
          <w:rFonts w:eastAsia="標楷體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20</w:t>
      </w:r>
      <w:r w:rsidRPr="00EC477E">
        <w:rPr>
          <w:rFonts w:eastAsia="標楷體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40</w:t>
      </w:r>
      <w:r w:rsidRPr="00EC477E">
        <w:rPr>
          <w:rFonts w:eastAsia="標楷體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34</w:t>
      </w:r>
      <w:r w:rsidRPr="00EC477E">
        <w:rPr>
          <w:rFonts w:eastAsia="標楷體"/>
          <w:sz w:val="26"/>
          <w:szCs w:val="26"/>
        </w:rPr>
        <w:t>個月以後發生性功能障礙的機率大約為</w:t>
      </w:r>
      <w:r w:rsidRPr="00EC477E">
        <w:rPr>
          <w:rFonts w:eastAsia="標楷體"/>
          <w:sz w:val="26"/>
          <w:szCs w:val="26"/>
        </w:rPr>
        <w:t>96%</w:t>
      </w:r>
      <w:r w:rsidRPr="00EC477E">
        <w:rPr>
          <w:rFonts w:eastAsia="標楷體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75%</w:t>
      </w:r>
      <w:r w:rsidRPr="00EC477E">
        <w:rPr>
          <w:rFonts w:eastAsia="標楷體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59%</w:t>
      </w:r>
      <w:r w:rsidRPr="00EC477E">
        <w:rPr>
          <w:rFonts w:eastAsia="標楷體"/>
          <w:sz w:val="26"/>
          <w:szCs w:val="26"/>
        </w:rPr>
        <w:t>、</w:t>
      </w:r>
      <w:r w:rsidRPr="00EC477E">
        <w:rPr>
          <w:rFonts w:eastAsia="標楷體"/>
          <w:sz w:val="26"/>
          <w:szCs w:val="26"/>
        </w:rPr>
        <w:t>53%</w:t>
      </w:r>
      <w:r w:rsidRPr="00EC477E">
        <w:rPr>
          <w:rFonts w:eastAsia="標楷體"/>
          <w:sz w:val="26"/>
          <w:szCs w:val="26"/>
        </w:rPr>
        <w:t>。</w:t>
      </w:r>
    </w:p>
    <w:p w:rsidR="00F4347A" w:rsidRPr="00EC477E" w:rsidRDefault="00F4347A" w:rsidP="00F4347A">
      <w:pPr>
        <w:tabs>
          <w:tab w:val="left" w:pos="12972"/>
        </w:tabs>
        <w:ind w:left="525" w:hangingChars="202" w:hanging="525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四、副作用之處置方法</w:t>
      </w:r>
      <w:r w:rsidRPr="00EC477E">
        <w:rPr>
          <w:rFonts w:eastAsia="標楷體" w:hint="eastAsia"/>
          <w:sz w:val="26"/>
          <w:szCs w:val="26"/>
        </w:rPr>
        <w:t>:</w:t>
      </w:r>
      <w:r w:rsidRPr="00EC477E">
        <w:rPr>
          <w:rFonts w:eastAsia="標楷體"/>
          <w:sz w:val="26"/>
          <w:szCs w:val="26"/>
        </w:rPr>
        <w:t>治療後應定期回診接受主治醫師之門診檢查，監測有無慢性副作用或嚴重的程度，必要時施予藥物症狀治療。</w:t>
      </w:r>
    </w:p>
    <w:p w:rsidR="00F4347A" w:rsidRPr="00EC477E" w:rsidRDefault="00F4347A" w:rsidP="00F4347A">
      <w:pPr>
        <w:tabs>
          <w:tab w:val="left" w:pos="12972"/>
        </w:tabs>
        <w:ind w:left="566" w:hangingChars="202" w:hanging="566"/>
        <w:rPr>
          <w:rFonts w:eastAsia="標楷體"/>
          <w:sz w:val="28"/>
          <w:szCs w:val="28"/>
        </w:rPr>
      </w:pPr>
    </w:p>
    <w:p w:rsidR="00F4347A" w:rsidRPr="00EC477E" w:rsidRDefault="00F4347A" w:rsidP="00F4347A">
      <w:pPr>
        <w:tabs>
          <w:tab w:val="left" w:pos="12972"/>
        </w:tabs>
        <w:ind w:left="566" w:hangingChars="202" w:hanging="566"/>
        <w:rPr>
          <w:rFonts w:eastAsia="標楷體"/>
          <w:b/>
          <w:bCs/>
          <w:sz w:val="28"/>
          <w:szCs w:val="28"/>
        </w:rPr>
      </w:pPr>
      <w:r w:rsidRPr="00EC477E">
        <w:rPr>
          <w:rFonts w:eastAsia="標楷體"/>
          <w:b/>
          <w:sz w:val="28"/>
          <w:szCs w:val="28"/>
        </w:rPr>
        <w:t>攝護腺癌</w:t>
      </w:r>
      <w:r w:rsidRPr="00EC477E">
        <w:rPr>
          <w:rFonts w:eastAsia="標楷體"/>
          <w:b/>
          <w:bCs/>
          <w:sz w:val="28"/>
          <w:szCs w:val="28"/>
        </w:rPr>
        <w:t>放射治療之術後追蹤</w:t>
      </w:r>
    </w:p>
    <w:p w:rsidR="00F4347A" w:rsidRPr="00EC477E" w:rsidRDefault="00F4347A" w:rsidP="00F4347A">
      <w:pPr>
        <w:tabs>
          <w:tab w:val="left" w:pos="12972"/>
        </w:tabs>
        <w:ind w:left="525" w:hangingChars="202" w:hanging="525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一、每</w:t>
      </w:r>
      <w:r w:rsidRPr="00EC477E">
        <w:rPr>
          <w:rFonts w:eastAsia="標楷體"/>
          <w:sz w:val="26"/>
          <w:szCs w:val="26"/>
        </w:rPr>
        <w:t>3~6</w:t>
      </w:r>
      <w:r w:rsidRPr="00EC477E">
        <w:rPr>
          <w:rFonts w:eastAsia="標楷體"/>
          <w:sz w:val="26"/>
          <w:szCs w:val="26"/>
        </w:rPr>
        <w:t>個月測</w:t>
      </w:r>
      <w:r w:rsidRPr="00EC477E">
        <w:rPr>
          <w:rFonts w:eastAsia="標楷體"/>
          <w:sz w:val="26"/>
          <w:szCs w:val="26"/>
        </w:rPr>
        <w:t>PSA</w:t>
      </w:r>
      <w:r w:rsidRPr="00EC477E">
        <w:rPr>
          <w:rFonts w:eastAsia="標楷體"/>
          <w:sz w:val="26"/>
          <w:szCs w:val="26"/>
        </w:rPr>
        <w:t>及每</w:t>
      </w:r>
      <w:r w:rsidRPr="00EC477E">
        <w:rPr>
          <w:rFonts w:eastAsia="標楷體"/>
          <w:sz w:val="26"/>
          <w:szCs w:val="26"/>
        </w:rPr>
        <w:t>6~12</w:t>
      </w:r>
      <w:r w:rsidRPr="00EC477E">
        <w:rPr>
          <w:rFonts w:eastAsia="標楷體"/>
          <w:sz w:val="26"/>
          <w:szCs w:val="26"/>
        </w:rPr>
        <w:t>個月肛門指診檢查持續</w:t>
      </w:r>
      <w:r w:rsidRPr="00EC477E">
        <w:rPr>
          <w:rFonts w:eastAsia="標楷體"/>
          <w:sz w:val="26"/>
          <w:szCs w:val="26"/>
        </w:rPr>
        <w:t>5</w:t>
      </w:r>
      <w:r w:rsidRPr="00EC477E">
        <w:rPr>
          <w:rFonts w:eastAsia="標楷體"/>
          <w:sz w:val="26"/>
          <w:szCs w:val="26"/>
        </w:rPr>
        <w:t>年，之後每年測</w:t>
      </w:r>
      <w:r w:rsidRPr="00EC477E">
        <w:rPr>
          <w:rFonts w:eastAsia="標楷體"/>
          <w:sz w:val="26"/>
          <w:szCs w:val="26"/>
        </w:rPr>
        <w:t>PSA</w:t>
      </w:r>
      <w:r w:rsidRPr="00EC477E">
        <w:rPr>
          <w:rFonts w:eastAsia="標楷體"/>
          <w:sz w:val="26"/>
          <w:szCs w:val="26"/>
        </w:rPr>
        <w:t>及肛門指診檢查一次。</w:t>
      </w:r>
    </w:p>
    <w:p w:rsidR="00F4347A" w:rsidRPr="00EC477E" w:rsidRDefault="00F4347A" w:rsidP="00F4347A">
      <w:pPr>
        <w:tabs>
          <w:tab w:val="left" w:pos="12972"/>
        </w:tabs>
        <w:ind w:left="525" w:hangingChars="202" w:hanging="525"/>
        <w:rPr>
          <w:rFonts w:eastAsia="標楷體"/>
          <w:b/>
          <w:bCs/>
          <w:sz w:val="26"/>
          <w:szCs w:val="26"/>
        </w:rPr>
      </w:pPr>
      <w:r w:rsidRPr="00EC477E">
        <w:rPr>
          <w:rFonts w:eastAsia="標楷體"/>
          <w:sz w:val="26"/>
          <w:szCs w:val="26"/>
        </w:rPr>
        <w:t>二、如病人有持續性或大量血便或血尿現象，建議安排大腸鏡或膀胱鏡檢查，確定出血性腸炎或膀胱炎。</w:t>
      </w:r>
    </w:p>
    <w:p w:rsidR="00F4347A" w:rsidRPr="00EC477E" w:rsidRDefault="00F4347A" w:rsidP="00F4347A">
      <w:pPr>
        <w:snapToGrid w:val="0"/>
        <w:spacing w:line="276" w:lineRule="auto"/>
        <w:jc w:val="both"/>
        <w:rPr>
          <w:rFonts w:eastAsia="標楷體"/>
          <w:b/>
          <w:sz w:val="28"/>
          <w:szCs w:val="28"/>
        </w:rPr>
      </w:pPr>
    </w:p>
    <w:p w:rsidR="00F4347A" w:rsidRPr="00EC477E" w:rsidRDefault="00F4347A" w:rsidP="00F4347A">
      <w:pPr>
        <w:snapToGrid w:val="0"/>
        <w:spacing w:line="276" w:lineRule="auto"/>
        <w:jc w:val="both"/>
        <w:rPr>
          <w:rFonts w:eastAsia="標楷體"/>
          <w:b/>
          <w:sz w:val="28"/>
          <w:szCs w:val="28"/>
        </w:rPr>
      </w:pPr>
    </w:p>
    <w:p w:rsidR="00F4347A" w:rsidRPr="00EC477E" w:rsidRDefault="00F4347A" w:rsidP="00F4347A">
      <w:pPr>
        <w:snapToGrid w:val="0"/>
        <w:spacing w:line="276" w:lineRule="auto"/>
        <w:jc w:val="both"/>
        <w:rPr>
          <w:rFonts w:eastAsia="標楷體"/>
          <w:b/>
          <w:sz w:val="28"/>
          <w:szCs w:val="28"/>
        </w:rPr>
      </w:pPr>
      <w:r w:rsidRPr="00EC477E">
        <w:rPr>
          <w:rFonts w:eastAsia="標楷體"/>
          <w:b/>
          <w:sz w:val="28"/>
          <w:szCs w:val="28"/>
        </w:rPr>
        <w:t>參考文獻</w:t>
      </w:r>
      <w:r w:rsidRPr="00EC477E">
        <w:rPr>
          <w:rFonts w:eastAsia="標楷體"/>
          <w:b/>
          <w:sz w:val="28"/>
          <w:szCs w:val="28"/>
        </w:rPr>
        <w:t xml:space="preserve">: 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ind w:leftChars="0"/>
        <w:rPr>
          <w:color w:val="000000" w:themeColor="text1"/>
          <w:szCs w:val="24"/>
        </w:rPr>
      </w:pPr>
      <w:r w:rsidRPr="00D3497F">
        <w:rPr>
          <w:rFonts w:eastAsia="標楷體"/>
          <w:kern w:val="0"/>
        </w:rPr>
        <w:t xml:space="preserve">National Comprehensive Cancer Network (NCCN) Clinical Practice Guidelines in Oncology: </w:t>
      </w:r>
      <w:r w:rsidRPr="00D3497F">
        <w:rPr>
          <w:rFonts w:eastAsia="標楷體" w:hint="eastAsia"/>
          <w:kern w:val="0"/>
        </w:rPr>
        <w:t>Prostate</w:t>
      </w:r>
      <w:r w:rsidRPr="00D3497F">
        <w:rPr>
          <w:rFonts w:eastAsia="標楷體"/>
          <w:kern w:val="0"/>
        </w:rPr>
        <w:t xml:space="preserve"> cancer </w:t>
      </w:r>
      <w:r w:rsidRPr="00D3497F">
        <w:rPr>
          <w:shd w:val="clear" w:color="auto" w:fill="FFFFFF"/>
        </w:rPr>
        <w:t xml:space="preserve">Version: </w:t>
      </w:r>
      <w:r w:rsidRPr="00D3497F">
        <w:rPr>
          <w:rFonts w:hint="eastAsia"/>
          <w:shd w:val="clear" w:color="auto" w:fill="FFFFFF"/>
        </w:rPr>
        <w:t>1</w:t>
      </w:r>
      <w:r w:rsidRPr="00D3497F">
        <w:rPr>
          <w:shd w:val="clear" w:color="auto" w:fill="FFFFFF"/>
        </w:rPr>
        <w:t>.2023.</w:t>
      </w:r>
      <w:r w:rsidRPr="00D3497F">
        <w:rPr>
          <w:rFonts w:eastAsia="標楷體"/>
        </w:rPr>
        <w:t>Available at</w:t>
      </w:r>
      <w:r w:rsidRPr="00D3497F">
        <w:t xml:space="preserve"> https://www.nccn.org/professionals/physician_gls/pdf/prostate.pdf</w:t>
      </w:r>
      <w:r w:rsidRPr="00D3497F">
        <w:rPr>
          <w:rFonts w:hint="eastAsia"/>
        </w:rPr>
        <w:t>.</w:t>
      </w:r>
      <w:r w:rsidRPr="00D3497F">
        <w:rPr>
          <w:rFonts w:eastAsia="標楷體"/>
        </w:rPr>
        <w:t xml:space="preserve">Accessed </w:t>
      </w:r>
      <w:r w:rsidRPr="00D3497F">
        <w:rPr>
          <w:rFonts w:eastAsia="標楷體" w:hint="eastAsia"/>
        </w:rPr>
        <w:t>June 7</w:t>
      </w:r>
      <w:r w:rsidRPr="00D3497F">
        <w:rPr>
          <w:rFonts w:eastAsia="標楷體"/>
        </w:rPr>
        <w:t>, 2023.</w:t>
      </w:r>
    </w:p>
    <w:p w:rsidR="00D3497F" w:rsidRPr="00D3497F" w:rsidRDefault="0037710C" w:rsidP="00D3497F">
      <w:pPr>
        <w:pStyle w:val="ab"/>
        <w:numPr>
          <w:ilvl w:val="0"/>
          <w:numId w:val="29"/>
        </w:numPr>
        <w:shd w:val="clear" w:color="auto" w:fill="FFFFFF"/>
        <w:ind w:leftChars="0"/>
      </w:pPr>
      <w:hyperlink r:id="rId8" w:history="1">
        <w:r w:rsidR="00D3497F" w:rsidRPr="00D3497F">
          <w:rPr>
            <w:rStyle w:val="a5"/>
            <w:color w:val="auto"/>
            <w:u w:val="none"/>
          </w:rPr>
          <w:t>Kamran</w:t>
        </w:r>
      </w:hyperlink>
      <w:r w:rsidR="00D3497F" w:rsidRPr="00D3497F">
        <w:rPr>
          <w:rStyle w:val="authors-list-item"/>
          <w:rFonts w:hint="eastAsia"/>
        </w:rPr>
        <w:t xml:space="preserve"> SC,</w:t>
      </w:r>
      <w:hyperlink r:id="rId9" w:history="1">
        <w:r w:rsidR="00D3497F" w:rsidRPr="00D3497F">
          <w:rPr>
            <w:rStyle w:val="a5"/>
            <w:color w:val="auto"/>
            <w:u w:val="none"/>
          </w:rPr>
          <w:t xml:space="preserve"> D'Amico</w:t>
        </w:r>
      </w:hyperlink>
      <w:r w:rsidR="00D3497F" w:rsidRPr="00D3497F">
        <w:rPr>
          <w:rStyle w:val="authors-list-item"/>
          <w:rFonts w:hint="eastAsia"/>
        </w:rPr>
        <w:t xml:space="preserve"> AV. </w:t>
      </w:r>
      <w:r w:rsidR="00D3497F" w:rsidRPr="00D3497F">
        <w:t>Radiation Therapy for Prostate Cancer</w:t>
      </w:r>
      <w:r w:rsidR="00D3497F" w:rsidRPr="00D3497F">
        <w:rPr>
          <w:rFonts w:hint="eastAsia"/>
        </w:rPr>
        <w:t>.</w:t>
      </w:r>
      <w:r w:rsidR="00D3497F" w:rsidRPr="00D3497F">
        <w:t>HematolOncolClin North Am</w:t>
      </w:r>
      <w:r w:rsidR="00D3497F" w:rsidRPr="00D3497F">
        <w:rPr>
          <w:rStyle w:val="period"/>
        </w:rPr>
        <w:t>.</w:t>
      </w:r>
      <w:r w:rsidR="00D3497F" w:rsidRPr="00D3497F">
        <w:rPr>
          <w:rStyle w:val="cit"/>
        </w:rPr>
        <w:t>2020;34:45-69.</w:t>
      </w:r>
    </w:p>
    <w:p w:rsidR="00D3497F" w:rsidRPr="00D3497F" w:rsidRDefault="00D3497F" w:rsidP="00D3497F">
      <w:pPr>
        <w:pStyle w:val="ab"/>
        <w:numPr>
          <w:ilvl w:val="0"/>
          <w:numId w:val="29"/>
        </w:numPr>
        <w:ind w:leftChars="0"/>
        <w:rPr>
          <w:rStyle w:val="docsum-journal-citation"/>
        </w:rPr>
      </w:pPr>
      <w:r w:rsidRPr="00D3497F">
        <w:rPr>
          <w:rStyle w:val="docsum-authors"/>
        </w:rPr>
        <w:t>Fosså SD, Dahl AA, Johannesen TB</w:t>
      </w:r>
      <w:r w:rsidRPr="00D3497F">
        <w:t>, et al.</w:t>
      </w:r>
      <w:hyperlink r:id="rId10" w:history="1">
        <w:r w:rsidRPr="00D3497F">
          <w:rPr>
            <w:rStyle w:val="a5"/>
            <w:color w:val="auto"/>
            <w:u w:val="none"/>
            <w:shd w:val="clear" w:color="auto" w:fill="FFFFFF"/>
          </w:rPr>
          <w:t>Late Adverse Health Outcomes and Quality of Life after curative radiotherapy+long-term ADT in Prostate Cancer Survivors: Comparison with men from the general population.</w:t>
        </w:r>
      </w:hyperlink>
      <w:r w:rsidRPr="00D3497F">
        <w:rPr>
          <w:rStyle w:val="docsum-journal-citation"/>
        </w:rPr>
        <w:t>ClinTranslRadiatOncol. 20226;37:78-84.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ind w:leftChars="0"/>
        <w:rPr>
          <w:color w:val="000000" w:themeColor="text1"/>
          <w:szCs w:val="24"/>
        </w:rPr>
      </w:pPr>
      <w:r w:rsidRPr="00D3497F">
        <w:rPr>
          <w:rFonts w:eastAsia="標楷體"/>
          <w:kern w:val="0"/>
          <w:szCs w:val="24"/>
        </w:rPr>
        <w:t xml:space="preserve">Potters L, Klein EA, Kattan MW, et al. Monotherapy for stage T1-T2 prostate cancer: radical prostatectomy, external beam radiotherapy, or </w:t>
      </w:r>
    </w:p>
    <w:p w:rsidR="00F4347A" w:rsidRPr="00D3497F" w:rsidRDefault="00F4347A" w:rsidP="00F4347A">
      <w:pPr>
        <w:autoSpaceDE w:val="0"/>
        <w:autoSpaceDN w:val="0"/>
        <w:adjustRightInd w:val="0"/>
        <w:ind w:left="142"/>
        <w:rPr>
          <w:rFonts w:eastAsia="標楷體"/>
          <w:kern w:val="0"/>
          <w:szCs w:val="24"/>
        </w:rPr>
      </w:pPr>
      <w:r w:rsidRPr="00D3497F">
        <w:rPr>
          <w:rFonts w:eastAsia="標楷體"/>
          <w:kern w:val="0"/>
          <w:szCs w:val="24"/>
        </w:rPr>
        <w:t>permanent seed implantation. RadiotherOncol. 2004; 71:29-33.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eastAsia="標楷體"/>
          <w:kern w:val="0"/>
          <w:szCs w:val="24"/>
        </w:rPr>
      </w:pPr>
      <w:r w:rsidRPr="00D3497F">
        <w:rPr>
          <w:rFonts w:eastAsia="標楷體"/>
          <w:kern w:val="0"/>
          <w:szCs w:val="24"/>
        </w:rPr>
        <w:lastRenderedPageBreak/>
        <w:t xml:space="preserve">Pollack A, Zagars GK, Starkschall G, et al. Prostate cancer radiation dose response: results of the M.D. Anderson phase III randomized trial. Int J </w:t>
      </w:r>
    </w:p>
    <w:p w:rsidR="00F4347A" w:rsidRPr="00D3497F" w:rsidRDefault="00F4347A" w:rsidP="00F4347A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D3497F">
        <w:rPr>
          <w:rFonts w:eastAsia="標楷體"/>
          <w:kern w:val="0"/>
          <w:szCs w:val="24"/>
        </w:rPr>
        <w:t>RadiatOncolBiol Phys. 2002;53:1097-1105.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eastAsia="標楷體"/>
          <w:kern w:val="0"/>
          <w:szCs w:val="24"/>
        </w:rPr>
      </w:pPr>
      <w:r w:rsidRPr="00D3497F">
        <w:rPr>
          <w:rFonts w:eastAsia="標楷體"/>
          <w:kern w:val="0"/>
          <w:szCs w:val="24"/>
        </w:rPr>
        <w:t>Zietman AL, DeSilvio ML, Slater JD, et al. Comparison of conventional-dose vs high-dose conformal radiation therapy in clinically localized</w:t>
      </w:r>
    </w:p>
    <w:p w:rsidR="00F4347A" w:rsidRPr="00D3497F" w:rsidRDefault="00F4347A" w:rsidP="00F4347A">
      <w:pPr>
        <w:autoSpaceDE w:val="0"/>
        <w:autoSpaceDN w:val="0"/>
        <w:adjustRightInd w:val="0"/>
        <w:ind w:left="142"/>
        <w:rPr>
          <w:rFonts w:eastAsia="標楷體"/>
          <w:kern w:val="0"/>
          <w:szCs w:val="24"/>
        </w:rPr>
      </w:pPr>
      <w:r w:rsidRPr="00D3497F">
        <w:rPr>
          <w:rFonts w:eastAsia="標楷體"/>
          <w:kern w:val="0"/>
          <w:szCs w:val="24"/>
        </w:rPr>
        <w:t>adenocarcinoma of the prostate: a randomized controlled trial. JAMA. 2005;294:1233-1239.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eastAsia="標楷體"/>
          <w:kern w:val="0"/>
          <w:szCs w:val="24"/>
        </w:rPr>
      </w:pPr>
      <w:r w:rsidRPr="00D3497F">
        <w:rPr>
          <w:rFonts w:eastAsia="標楷體"/>
          <w:iCs/>
          <w:kern w:val="0"/>
          <w:szCs w:val="24"/>
        </w:rPr>
        <w:t>Michel B, Hein van P, Laurence C, et al.</w:t>
      </w:r>
      <w:r w:rsidRPr="00D3497F">
        <w:rPr>
          <w:rFonts w:eastAsia="標楷體"/>
          <w:bCs/>
          <w:kern w:val="0"/>
          <w:szCs w:val="24"/>
        </w:rPr>
        <w:t xml:space="preserve">Postoperative radiotherapy after radical prostatectomy: a randomised controlled trial (EORTC trial </w:t>
      </w:r>
    </w:p>
    <w:p w:rsidR="00F4347A" w:rsidRPr="00D3497F" w:rsidRDefault="00F4347A" w:rsidP="00F4347A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D3497F">
        <w:rPr>
          <w:rFonts w:eastAsia="標楷體"/>
          <w:bCs/>
          <w:kern w:val="0"/>
          <w:szCs w:val="24"/>
        </w:rPr>
        <w:t xml:space="preserve">    22911). </w:t>
      </w:r>
      <w:r w:rsidRPr="00D3497F">
        <w:rPr>
          <w:rFonts w:eastAsia="標楷體"/>
          <w:bCs/>
          <w:iCs/>
          <w:kern w:val="0"/>
          <w:szCs w:val="24"/>
        </w:rPr>
        <w:t xml:space="preserve">Lancet </w:t>
      </w:r>
      <w:r w:rsidRPr="00D3497F">
        <w:rPr>
          <w:rFonts w:eastAsia="標楷體"/>
          <w:bCs/>
          <w:kern w:val="0"/>
          <w:szCs w:val="24"/>
        </w:rPr>
        <w:t>2005; 366: 572–78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eastAsia="標楷體"/>
          <w:kern w:val="0"/>
          <w:szCs w:val="24"/>
        </w:rPr>
      </w:pPr>
      <w:r w:rsidRPr="00D3497F">
        <w:rPr>
          <w:rFonts w:eastAsia="標楷體"/>
          <w:kern w:val="0"/>
          <w:szCs w:val="24"/>
        </w:rPr>
        <w:t xml:space="preserve">Ian M. Thompson, Catherine M. Tangen, Jorge Paradelo, et al. </w:t>
      </w:r>
      <w:r w:rsidRPr="00D3497F">
        <w:rPr>
          <w:rFonts w:eastAsia="標楷體"/>
          <w:bCs/>
          <w:kern w:val="0"/>
          <w:szCs w:val="24"/>
        </w:rPr>
        <w:t xml:space="preserve">Adjuvant Radiotherapy for Pathologically Advanced Prostate </w:t>
      </w:r>
    </w:p>
    <w:p w:rsidR="00F4347A" w:rsidRPr="00D3497F" w:rsidRDefault="00F4347A" w:rsidP="00F4347A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D3497F">
        <w:rPr>
          <w:rFonts w:eastAsia="標楷體"/>
          <w:bCs/>
          <w:kern w:val="0"/>
          <w:szCs w:val="24"/>
        </w:rPr>
        <w:t xml:space="preserve">Cancer -- </w:t>
      </w:r>
      <w:r w:rsidRPr="00D3497F">
        <w:rPr>
          <w:rFonts w:eastAsia="標楷體"/>
          <w:kern w:val="0"/>
          <w:szCs w:val="24"/>
        </w:rPr>
        <w:t>A Randomized Clinical Trial.</w:t>
      </w:r>
      <w:r w:rsidRPr="00D3497F">
        <w:rPr>
          <w:rFonts w:eastAsia="標楷體"/>
          <w:iCs/>
          <w:kern w:val="0"/>
          <w:szCs w:val="24"/>
        </w:rPr>
        <w:t>JAMA</w:t>
      </w:r>
      <w:r w:rsidRPr="00D3497F">
        <w:rPr>
          <w:rFonts w:eastAsia="標楷體"/>
          <w:kern w:val="0"/>
          <w:szCs w:val="24"/>
        </w:rPr>
        <w:t>. 2006;296(19):2329-2335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eastAsia="標楷體"/>
          <w:kern w:val="0"/>
          <w:szCs w:val="24"/>
        </w:rPr>
      </w:pPr>
      <w:r w:rsidRPr="00D3497F">
        <w:rPr>
          <w:rFonts w:eastAsia="標楷體"/>
          <w:iCs/>
          <w:kern w:val="0"/>
          <w:szCs w:val="24"/>
        </w:rPr>
        <w:t xml:space="preserve">Thomas W., Dirk B., Ursula S., et al. </w:t>
      </w:r>
      <w:r w:rsidRPr="00D3497F">
        <w:rPr>
          <w:rFonts w:eastAsia="標楷體"/>
          <w:kern w:val="0"/>
          <w:szCs w:val="24"/>
        </w:rPr>
        <w:t xml:space="preserve">Phase III Postoperative Adjuvant Radiotherapy After Radical Prostatectomy Compared With Radical </w:t>
      </w:r>
    </w:p>
    <w:p w:rsidR="00F4347A" w:rsidRPr="00D3497F" w:rsidRDefault="00F4347A" w:rsidP="00F4347A">
      <w:pPr>
        <w:autoSpaceDE w:val="0"/>
        <w:autoSpaceDN w:val="0"/>
        <w:adjustRightInd w:val="0"/>
        <w:jc w:val="distribute"/>
        <w:rPr>
          <w:rFonts w:eastAsia="標楷體"/>
          <w:iCs/>
          <w:kern w:val="0"/>
          <w:szCs w:val="24"/>
        </w:rPr>
      </w:pPr>
      <w:r w:rsidRPr="00D3497F">
        <w:rPr>
          <w:rFonts w:eastAsia="標楷體"/>
          <w:kern w:val="0"/>
          <w:szCs w:val="24"/>
        </w:rPr>
        <w:t xml:space="preserve">    Prostatectomy Alone in pT3 Prostate Cancer With Postoperative Undetectable  Prostate-Specific Antigen: ARO 96-02/AUO AP 09/95. </w:t>
      </w:r>
      <w:r w:rsidRPr="00D3497F">
        <w:rPr>
          <w:rFonts w:eastAsia="標楷體"/>
          <w:iCs/>
          <w:kern w:val="0"/>
          <w:szCs w:val="24"/>
        </w:rPr>
        <w:t>J Clin</w:t>
      </w:r>
    </w:p>
    <w:p w:rsidR="00F4347A" w:rsidRPr="00D3497F" w:rsidRDefault="00F4347A" w:rsidP="00F4347A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D3497F">
        <w:rPr>
          <w:rFonts w:eastAsia="標楷體"/>
          <w:iCs/>
          <w:kern w:val="0"/>
          <w:szCs w:val="24"/>
        </w:rPr>
        <w:t>Oncol. 27:2924-2930.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eastAsia="標楷體"/>
          <w:kern w:val="0"/>
          <w:szCs w:val="24"/>
        </w:rPr>
      </w:pPr>
      <w:r w:rsidRPr="00D3497F">
        <w:rPr>
          <w:rFonts w:eastAsia="標楷體"/>
          <w:kern w:val="0"/>
          <w:szCs w:val="24"/>
        </w:rPr>
        <w:t xml:space="preserve">Swanson GP, Goldman B, Tangen CM, et al. The prognostic impact of seminal vesicle involvement found at prostatectomy and the effects of </w:t>
      </w:r>
    </w:p>
    <w:p w:rsidR="00F4347A" w:rsidRPr="00D3497F" w:rsidRDefault="00F4347A" w:rsidP="00F4347A">
      <w:pPr>
        <w:autoSpaceDE w:val="0"/>
        <w:autoSpaceDN w:val="0"/>
        <w:adjustRightInd w:val="0"/>
        <w:rPr>
          <w:rFonts w:eastAsia="標楷體"/>
          <w:szCs w:val="24"/>
        </w:rPr>
      </w:pPr>
      <w:r w:rsidRPr="00D3497F">
        <w:rPr>
          <w:rFonts w:eastAsia="標楷體"/>
          <w:kern w:val="0"/>
          <w:szCs w:val="24"/>
        </w:rPr>
        <w:t>adjuvant radiation: data from Southwest Oncology Group 8794. J Urol. 2008;180:2453-2457; discussion 2458.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eastAsia="標楷體"/>
          <w:szCs w:val="24"/>
        </w:rPr>
      </w:pPr>
      <w:r w:rsidRPr="00D3497F">
        <w:rPr>
          <w:rFonts w:eastAsia="標楷體"/>
          <w:kern w:val="0"/>
          <w:szCs w:val="24"/>
        </w:rPr>
        <w:t>Incrocci L, Slob AK, Levendag PC. Sexual (dys)function after radiotherapy for prostate cancer: a review. Int J RadiatOncolBiol Phys.</w:t>
      </w:r>
    </w:p>
    <w:p w:rsidR="00F4347A" w:rsidRPr="00D3497F" w:rsidRDefault="00F4347A" w:rsidP="00F4347A">
      <w:pPr>
        <w:autoSpaceDE w:val="0"/>
        <w:autoSpaceDN w:val="0"/>
        <w:adjustRightInd w:val="0"/>
        <w:rPr>
          <w:rFonts w:eastAsia="標楷體"/>
          <w:szCs w:val="24"/>
        </w:rPr>
      </w:pPr>
      <w:r w:rsidRPr="00D3497F">
        <w:rPr>
          <w:rFonts w:eastAsia="標楷體"/>
          <w:kern w:val="0"/>
          <w:szCs w:val="24"/>
        </w:rPr>
        <w:t xml:space="preserve">    2002;52:681-693. </w:t>
      </w:r>
    </w:p>
    <w:p w:rsidR="00F4347A" w:rsidRPr="00D3497F" w:rsidRDefault="00F4347A" w:rsidP="00F4347A">
      <w:pPr>
        <w:pStyle w:val="ab"/>
        <w:numPr>
          <w:ilvl w:val="0"/>
          <w:numId w:val="29"/>
        </w:numPr>
        <w:tabs>
          <w:tab w:val="left" w:pos="426"/>
          <w:tab w:val="left" w:pos="709"/>
        </w:tabs>
        <w:autoSpaceDE w:val="0"/>
        <w:autoSpaceDN w:val="0"/>
        <w:adjustRightInd w:val="0"/>
        <w:ind w:leftChars="0"/>
        <w:rPr>
          <w:rFonts w:eastAsia="標楷體"/>
          <w:szCs w:val="24"/>
        </w:rPr>
      </w:pPr>
      <w:r w:rsidRPr="00D3497F">
        <w:rPr>
          <w:rFonts w:eastAsia="標楷體"/>
          <w:szCs w:val="24"/>
        </w:rPr>
        <w:t xml:space="preserve">CTCv4.0 </w:t>
      </w:r>
      <w:hyperlink r:id="rId11" w:tgtFrame="_parent" w:history="1">
        <w:r w:rsidRPr="00D3497F">
          <w:rPr>
            <w:rStyle w:val="a5"/>
            <w:rFonts w:eastAsia="標楷體"/>
            <w:color w:val="auto"/>
            <w:szCs w:val="24"/>
            <w:u w:val="none"/>
          </w:rPr>
          <w:t>http://evs.nci.nih.gov/ftp1/CTCAE/CTCAE_4.03_2010-06-14_QuickReference_5x7.pdf</w:t>
        </w:r>
      </w:hyperlink>
    </w:p>
    <w:p w:rsidR="00F4347A" w:rsidRPr="00D3497F" w:rsidRDefault="00F4347A" w:rsidP="00F4347A">
      <w:pPr>
        <w:pStyle w:val="ab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eastAsia="標楷體"/>
          <w:kern w:val="0"/>
          <w:szCs w:val="24"/>
        </w:rPr>
      </w:pPr>
      <w:r w:rsidRPr="00D3497F">
        <w:rPr>
          <w:rFonts w:eastAsia="標楷體"/>
          <w:kern w:val="0"/>
          <w:szCs w:val="24"/>
          <w:lang w:val="da-DK"/>
        </w:rPr>
        <w:t xml:space="preserve">LAWRENCE B. MARKS, ELLEN D. YORKE, et al. </w:t>
      </w:r>
      <w:r w:rsidRPr="00D3497F">
        <w:rPr>
          <w:rFonts w:eastAsia="標楷體"/>
          <w:kern w:val="0"/>
          <w:szCs w:val="24"/>
        </w:rPr>
        <w:t>Use of normal tissue complication probability models in the clinic. Int J RadiatOncolBiol</w:t>
      </w:r>
    </w:p>
    <w:p w:rsidR="00F4347A" w:rsidRPr="00D3497F" w:rsidRDefault="00F4347A" w:rsidP="00F4347A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  <w:szCs w:val="24"/>
        </w:rPr>
      </w:pPr>
      <w:r w:rsidRPr="00D3497F">
        <w:rPr>
          <w:rFonts w:eastAsia="標楷體"/>
          <w:kern w:val="0"/>
          <w:szCs w:val="24"/>
        </w:rPr>
        <w:t>Phys. 2010;76:S10-S19.</w:t>
      </w:r>
    </w:p>
    <w:p w:rsidR="00F4347A" w:rsidRPr="00D3497F" w:rsidRDefault="00F4347A" w:rsidP="00F4347A">
      <w:pPr>
        <w:numPr>
          <w:ilvl w:val="0"/>
          <w:numId w:val="30"/>
        </w:numPr>
        <w:autoSpaceDE w:val="0"/>
        <w:autoSpaceDN w:val="0"/>
        <w:adjustRightInd w:val="0"/>
        <w:jc w:val="distribute"/>
        <w:rPr>
          <w:rFonts w:eastAsia="標楷體"/>
          <w:szCs w:val="24"/>
        </w:rPr>
      </w:pPr>
      <w:r w:rsidRPr="00D3497F">
        <w:rPr>
          <w:rFonts w:eastAsia="標楷體"/>
          <w:szCs w:val="24"/>
          <w:lang w:val="fr-FR"/>
        </w:rPr>
        <w:t xml:space="preserve">Jacobs BL, Zhang Y, Skolarus TA, et al. </w:t>
      </w:r>
      <w:r w:rsidRPr="00D3497F">
        <w:rPr>
          <w:rFonts w:eastAsia="標楷體"/>
          <w:szCs w:val="24"/>
        </w:rPr>
        <w:t>Comparative effectiveness of external-beam radiation approaches for prostate cancer. EurUrol 2012.</w:t>
      </w:r>
    </w:p>
    <w:p w:rsidR="00F4347A" w:rsidRPr="00D3497F" w:rsidRDefault="00F4347A" w:rsidP="00F4347A">
      <w:pPr>
        <w:autoSpaceDE w:val="0"/>
        <w:autoSpaceDN w:val="0"/>
        <w:adjustRightInd w:val="0"/>
        <w:ind w:left="480"/>
        <w:rPr>
          <w:rFonts w:eastAsia="標楷體"/>
          <w:szCs w:val="24"/>
        </w:rPr>
      </w:pPr>
      <w:r w:rsidRPr="00D3497F">
        <w:rPr>
          <w:rFonts w:eastAsia="標楷體"/>
          <w:szCs w:val="24"/>
        </w:rPr>
        <w:t xml:space="preserve">Available at: http:// </w:t>
      </w:r>
      <w:hyperlink r:id="rId12" w:history="1">
        <w:r w:rsidRPr="00D3497F">
          <w:rPr>
            <w:rStyle w:val="a5"/>
            <w:rFonts w:eastAsia="標楷體"/>
            <w:color w:val="auto"/>
            <w:szCs w:val="24"/>
            <w:u w:val="none"/>
          </w:rPr>
          <w:t>www.ncbi.nlm.nih.gov/pubmed/22790288</w:t>
        </w:r>
      </w:hyperlink>
      <w:r w:rsidRPr="00D3497F">
        <w:rPr>
          <w:rFonts w:eastAsia="標楷體"/>
          <w:szCs w:val="24"/>
        </w:rPr>
        <w:t>.</w:t>
      </w:r>
    </w:p>
    <w:p w:rsidR="00F4347A" w:rsidRPr="00D3497F" w:rsidRDefault="0037710C" w:rsidP="00F4347A">
      <w:pPr>
        <w:numPr>
          <w:ilvl w:val="0"/>
          <w:numId w:val="30"/>
        </w:numPr>
        <w:autoSpaceDE w:val="0"/>
        <w:autoSpaceDN w:val="0"/>
        <w:adjustRightInd w:val="0"/>
        <w:jc w:val="distribute"/>
        <w:rPr>
          <w:rFonts w:eastAsia="標楷體"/>
          <w:szCs w:val="24"/>
        </w:rPr>
      </w:pPr>
      <w:hyperlink r:id="rId13" w:history="1">
        <w:r w:rsidR="00F4347A" w:rsidRPr="00D3497F">
          <w:rPr>
            <w:rFonts w:eastAsia="標楷體"/>
            <w:szCs w:val="24"/>
          </w:rPr>
          <w:t>Buyyounouski MK</w:t>
        </w:r>
      </w:hyperlink>
      <w:r w:rsidR="00F4347A" w:rsidRPr="00D3497F">
        <w:rPr>
          <w:rFonts w:eastAsia="標楷體"/>
          <w:szCs w:val="24"/>
        </w:rPr>
        <w:t xml:space="preserve">, </w:t>
      </w:r>
      <w:hyperlink r:id="rId14" w:history="1">
        <w:r w:rsidR="00F4347A" w:rsidRPr="00D3497F">
          <w:rPr>
            <w:rFonts w:eastAsia="標楷體"/>
            <w:szCs w:val="24"/>
          </w:rPr>
          <w:t>Price RA Jr</w:t>
        </w:r>
      </w:hyperlink>
      <w:r w:rsidR="00F4347A" w:rsidRPr="00D3497F">
        <w:rPr>
          <w:rFonts w:eastAsia="標楷體"/>
          <w:szCs w:val="24"/>
        </w:rPr>
        <w:t xml:space="preserve">, </w:t>
      </w:r>
      <w:hyperlink r:id="rId15" w:history="1">
        <w:r w:rsidR="00F4347A" w:rsidRPr="00D3497F">
          <w:rPr>
            <w:rFonts w:eastAsia="標楷體"/>
            <w:szCs w:val="24"/>
          </w:rPr>
          <w:t>Harris EE</w:t>
        </w:r>
      </w:hyperlink>
      <w:r w:rsidR="00F4347A" w:rsidRPr="00D3497F">
        <w:rPr>
          <w:rFonts w:eastAsia="標楷體"/>
          <w:szCs w:val="24"/>
        </w:rPr>
        <w:t xml:space="preserve">, et al. Stereotactic body radiotherapy for primary management of early-stage, low- to intermediate-risk </w:t>
      </w:r>
    </w:p>
    <w:p w:rsidR="00F4347A" w:rsidRPr="00D3497F" w:rsidRDefault="00F4347A" w:rsidP="00F4347A">
      <w:pPr>
        <w:autoSpaceDE w:val="0"/>
        <w:autoSpaceDN w:val="0"/>
        <w:adjustRightInd w:val="0"/>
        <w:ind w:left="480"/>
        <w:jc w:val="distribute"/>
        <w:rPr>
          <w:rFonts w:eastAsia="標楷體"/>
          <w:kern w:val="0"/>
          <w:szCs w:val="24"/>
        </w:rPr>
      </w:pPr>
      <w:r w:rsidRPr="00D3497F">
        <w:rPr>
          <w:rFonts w:eastAsia="標楷體"/>
          <w:szCs w:val="24"/>
        </w:rPr>
        <w:t xml:space="preserve">prostate cancer: report of the American Society for Therapeutic Radiology and Oncology Emerging Technology Committee. </w:t>
      </w:r>
      <w:r w:rsidRPr="00D3497F">
        <w:rPr>
          <w:rFonts w:eastAsia="標楷體"/>
          <w:kern w:val="0"/>
          <w:szCs w:val="24"/>
        </w:rPr>
        <w:t>Int J RadiatOncol</w:t>
      </w:r>
    </w:p>
    <w:p w:rsidR="00F4347A" w:rsidRPr="00D3497F" w:rsidRDefault="00F4347A" w:rsidP="00F4347A">
      <w:pPr>
        <w:autoSpaceDE w:val="0"/>
        <w:autoSpaceDN w:val="0"/>
        <w:adjustRightInd w:val="0"/>
        <w:ind w:left="480"/>
        <w:rPr>
          <w:bCs/>
          <w:kern w:val="0"/>
          <w:szCs w:val="24"/>
        </w:rPr>
      </w:pPr>
      <w:r w:rsidRPr="00D3497F">
        <w:rPr>
          <w:rFonts w:eastAsia="標楷體"/>
          <w:kern w:val="0"/>
          <w:szCs w:val="24"/>
        </w:rPr>
        <w:t>Biol Phys.</w:t>
      </w:r>
      <w:r w:rsidRPr="00D3497F">
        <w:rPr>
          <w:rFonts w:eastAsia="標楷體"/>
          <w:szCs w:val="24"/>
        </w:rPr>
        <w:t>2010;76:1297-304.</w:t>
      </w:r>
    </w:p>
    <w:p w:rsidR="00F4347A" w:rsidRPr="00EC477E" w:rsidRDefault="0037710C" w:rsidP="00F4347A">
      <w:pPr>
        <w:pStyle w:val="ab"/>
        <w:numPr>
          <w:ilvl w:val="0"/>
          <w:numId w:val="30"/>
        </w:numPr>
        <w:ind w:leftChars="0"/>
        <w:rPr>
          <w:rStyle w:val="cit"/>
          <w:szCs w:val="24"/>
        </w:rPr>
      </w:pPr>
      <w:hyperlink r:id="rId16" w:history="1">
        <w:r w:rsidR="00F4347A" w:rsidRPr="00D3497F">
          <w:rPr>
            <w:rStyle w:val="a5"/>
            <w:color w:val="auto"/>
            <w:szCs w:val="24"/>
            <w:u w:val="none"/>
          </w:rPr>
          <w:t>Hiram A. Gay</w:t>
        </w:r>
      </w:hyperlink>
      <w:r w:rsidR="00F4347A" w:rsidRPr="00D3497F">
        <w:rPr>
          <w:szCs w:val="24"/>
        </w:rPr>
        <w:t>, MD and </w:t>
      </w:r>
      <w:hyperlink r:id="rId17" w:history="1">
        <w:r w:rsidR="00F4347A" w:rsidRPr="00D3497F">
          <w:rPr>
            <w:rStyle w:val="a5"/>
            <w:color w:val="auto"/>
            <w:szCs w:val="24"/>
            <w:u w:val="none"/>
          </w:rPr>
          <w:t>Jeff M. Michalski</w:t>
        </w:r>
      </w:hyperlink>
      <w:r w:rsidR="00F4347A" w:rsidRPr="00D3497F">
        <w:rPr>
          <w:rFonts w:hint="eastAsia"/>
        </w:rPr>
        <w:t xml:space="preserve">. </w:t>
      </w:r>
      <w:r w:rsidR="00F4347A" w:rsidRPr="00D3497F">
        <w:rPr>
          <w:bCs/>
          <w:szCs w:val="24"/>
        </w:rPr>
        <w:t>Radiation Therapy for Prostate Cancer</w:t>
      </w:r>
      <w:r w:rsidR="00F4347A" w:rsidRPr="00D3497F">
        <w:rPr>
          <w:rFonts w:hint="eastAsia"/>
          <w:bCs/>
          <w:szCs w:val="24"/>
        </w:rPr>
        <w:t>.</w:t>
      </w:r>
      <w:r w:rsidR="00F4347A" w:rsidRPr="00D3497F">
        <w:rPr>
          <w:rFonts w:hint="eastAsia"/>
          <w:szCs w:val="24"/>
        </w:rPr>
        <w:t>.</w:t>
      </w:r>
      <w:hyperlink r:id="rId18" w:history="1">
        <w:r w:rsidR="00F4347A" w:rsidRPr="00D3497F">
          <w:rPr>
            <w:rStyle w:val="a5"/>
            <w:color w:val="auto"/>
            <w:szCs w:val="24"/>
            <w:u w:val="none"/>
          </w:rPr>
          <w:t>Mo Med</w:t>
        </w:r>
      </w:hyperlink>
      <w:r w:rsidR="00F4347A" w:rsidRPr="00D3497F">
        <w:rPr>
          <w:rStyle w:val="cit"/>
          <w:szCs w:val="24"/>
        </w:rPr>
        <w:t>. 2018 Mar-Apr; 115(2): 146</w:t>
      </w:r>
      <w:r w:rsidR="00F4347A" w:rsidRPr="00D3497F">
        <w:rPr>
          <w:rStyle w:val="cit"/>
          <w:rFonts w:hint="eastAsia"/>
          <w:szCs w:val="24"/>
        </w:rPr>
        <w:t>-</w:t>
      </w:r>
      <w:r w:rsidR="00F4347A" w:rsidRPr="00D3497F">
        <w:rPr>
          <w:rStyle w:val="cit"/>
          <w:szCs w:val="24"/>
        </w:rPr>
        <w:t>50</w:t>
      </w:r>
      <w:r w:rsidR="00F4347A" w:rsidRPr="00D3497F">
        <w:rPr>
          <w:rStyle w:val="cit"/>
          <w:rFonts w:hint="eastAsia"/>
          <w:szCs w:val="24"/>
        </w:rPr>
        <w:t>.</w:t>
      </w:r>
    </w:p>
    <w:p w:rsidR="00F4347A" w:rsidRDefault="00F4347A" w:rsidP="00F4347A">
      <w:pPr>
        <w:pStyle w:val="ab"/>
        <w:ind w:leftChars="0"/>
        <w:rPr>
          <w:rStyle w:val="cit"/>
          <w:szCs w:val="24"/>
        </w:rPr>
      </w:pPr>
    </w:p>
    <w:p w:rsidR="00F4347A" w:rsidRDefault="00F4347A" w:rsidP="00F4347A">
      <w:pPr>
        <w:pStyle w:val="ab"/>
        <w:ind w:leftChars="0"/>
        <w:rPr>
          <w:rStyle w:val="cit"/>
          <w:szCs w:val="24"/>
        </w:rPr>
      </w:pPr>
    </w:p>
    <w:p w:rsidR="00F4347A" w:rsidRDefault="00F4347A" w:rsidP="00F4347A">
      <w:pPr>
        <w:pStyle w:val="ab"/>
        <w:ind w:leftChars="0"/>
        <w:rPr>
          <w:rStyle w:val="cit"/>
          <w:szCs w:val="24"/>
        </w:rPr>
      </w:pPr>
    </w:p>
    <w:p w:rsidR="00F4347A" w:rsidRPr="00EC477E" w:rsidRDefault="00F4347A" w:rsidP="00F4347A">
      <w:pPr>
        <w:autoSpaceDE w:val="0"/>
        <w:autoSpaceDN w:val="0"/>
        <w:adjustRightInd w:val="0"/>
        <w:rPr>
          <w:bCs/>
          <w:kern w:val="0"/>
          <w:szCs w:val="24"/>
        </w:rPr>
      </w:pPr>
    </w:p>
    <w:p w:rsidR="00F4347A" w:rsidRPr="00EC477E" w:rsidRDefault="00F4347A" w:rsidP="00F4347A">
      <w:pPr>
        <w:autoSpaceDE w:val="0"/>
        <w:autoSpaceDN w:val="0"/>
        <w:adjustRightInd w:val="0"/>
        <w:rPr>
          <w:bCs/>
          <w:kern w:val="0"/>
          <w:szCs w:val="24"/>
        </w:rPr>
        <w:sectPr w:rsidR="00F4347A" w:rsidRPr="00EC477E" w:rsidSect="00F85A3F">
          <w:headerReference w:type="default" r:id="rId19"/>
          <w:footerReference w:type="default" r:id="rId20"/>
          <w:type w:val="continuous"/>
          <w:pgSz w:w="16838" w:h="11906" w:orient="landscape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F4347A" w:rsidRPr="00EC477E" w:rsidRDefault="00F4347A" w:rsidP="00F4347A">
      <w:pPr>
        <w:rPr>
          <w:rFonts w:eastAsia="標楷體"/>
          <w:b/>
          <w:bCs/>
          <w:sz w:val="28"/>
          <w:szCs w:val="28"/>
        </w:rPr>
      </w:pPr>
      <w:r w:rsidRPr="00EC477E">
        <w:rPr>
          <w:rFonts w:eastAsia="標楷體"/>
          <w:b/>
          <w:bCs/>
          <w:sz w:val="28"/>
          <w:szCs w:val="28"/>
        </w:rPr>
        <w:lastRenderedPageBreak/>
        <w:t>20</w:t>
      </w:r>
      <w:r w:rsidRPr="00EC477E">
        <w:rPr>
          <w:rFonts w:eastAsia="標楷體" w:hint="eastAsia"/>
          <w:b/>
          <w:bCs/>
          <w:sz w:val="28"/>
          <w:szCs w:val="28"/>
        </w:rPr>
        <w:t>2</w:t>
      </w:r>
      <w:r>
        <w:rPr>
          <w:rFonts w:eastAsia="標楷體" w:hint="eastAsia"/>
          <w:b/>
          <w:bCs/>
          <w:sz w:val="28"/>
          <w:szCs w:val="28"/>
        </w:rPr>
        <w:t>3</w:t>
      </w:r>
      <w:r w:rsidRPr="00EC477E">
        <w:rPr>
          <w:rFonts w:eastAsia="標楷體"/>
          <w:b/>
          <w:bCs/>
          <w:sz w:val="28"/>
          <w:szCs w:val="28"/>
        </w:rPr>
        <w:t>年</w:t>
      </w:r>
      <w:r w:rsidRPr="00EC477E">
        <w:rPr>
          <w:rFonts w:eastAsia="標楷體"/>
          <w:b/>
          <w:sz w:val="28"/>
          <w:szCs w:val="28"/>
        </w:rPr>
        <w:t>國軍高雄總醫院左營分院放射腫瘤科</w:t>
      </w:r>
      <w:r w:rsidRPr="00EC477E">
        <w:rPr>
          <w:rFonts w:eastAsia="標楷體"/>
          <w:b/>
          <w:bCs/>
          <w:sz w:val="28"/>
          <w:szCs w:val="28"/>
        </w:rPr>
        <w:t>放射治療監測辦法</w:t>
      </w:r>
    </w:p>
    <w:p w:rsidR="00F4347A" w:rsidRPr="00EC477E" w:rsidRDefault="00F4347A" w:rsidP="00F4347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病人接受放射治療前，主治醫師對該療程進行確認及簽章比率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>:9</w:t>
      </w:r>
      <w:r>
        <w:rPr>
          <w:rFonts w:eastAsia="標楷體" w:hint="eastAsia"/>
          <w:sz w:val="26"/>
          <w:szCs w:val="24"/>
        </w:rPr>
        <w:t>5</w:t>
      </w:r>
      <w:r w:rsidRPr="00EC477E">
        <w:rPr>
          <w:rFonts w:eastAsia="標楷體"/>
          <w:sz w:val="26"/>
          <w:szCs w:val="24"/>
        </w:rPr>
        <w:t>%</w:t>
      </w:r>
    </w:p>
    <w:p w:rsidR="00F4347A" w:rsidRPr="00EC477E" w:rsidRDefault="00F4347A" w:rsidP="00F4347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EC477E">
        <w:rPr>
          <w:rFonts w:eastAsia="標楷體"/>
          <w:sz w:val="26"/>
          <w:szCs w:val="24"/>
        </w:rPr>
        <w:t>接受放射治療前，主治醫師對病患療程進行確認及簽章之人數</w:t>
      </w:r>
    </w:p>
    <w:p w:rsidR="00F4347A" w:rsidRPr="00EC477E" w:rsidRDefault="00F4347A" w:rsidP="00F4347A">
      <w:pPr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癌進行根治性放射治療總人數</w:t>
      </w:r>
    </w:p>
    <w:p w:rsidR="00F4347A" w:rsidRPr="00EC477E" w:rsidRDefault="00F4347A" w:rsidP="00F4347A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276" w:lineRule="auto"/>
        <w:ind w:left="284" w:hanging="284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病人接受放射治療前，使用定位照相以確保照射範圍正確性之比率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>:9</w:t>
      </w:r>
      <w:r>
        <w:rPr>
          <w:rFonts w:eastAsia="標楷體" w:hint="eastAsia"/>
          <w:sz w:val="26"/>
          <w:szCs w:val="24"/>
        </w:rPr>
        <w:t>5</w:t>
      </w:r>
      <w:r w:rsidRPr="00EC477E">
        <w:rPr>
          <w:rFonts w:eastAsia="標楷體"/>
          <w:sz w:val="26"/>
          <w:szCs w:val="24"/>
        </w:rPr>
        <w:t>%</w:t>
      </w:r>
    </w:p>
    <w:p w:rsidR="00F4347A" w:rsidRPr="00EC477E" w:rsidRDefault="00F4347A" w:rsidP="00F4347A">
      <w:pPr>
        <w:autoSpaceDE w:val="0"/>
        <w:autoSpaceDN w:val="0"/>
        <w:adjustRightInd w:val="0"/>
        <w:spacing w:line="276" w:lineRule="auto"/>
        <w:ind w:leftChars="108" w:left="259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036925">
        <w:rPr>
          <w:rFonts w:eastAsia="標楷體"/>
          <w:sz w:val="26"/>
          <w:szCs w:val="24"/>
        </w:rPr>
        <w:t>接受放射治療前，</w:t>
      </w:r>
      <w:r w:rsidRPr="00EC477E">
        <w:rPr>
          <w:rFonts w:eastAsia="標楷體"/>
          <w:sz w:val="26"/>
          <w:szCs w:val="24"/>
        </w:rPr>
        <w:t>使用定位照相或影像導引以確保照射範圍正確性</w:t>
      </w:r>
      <w:r w:rsidRPr="00EC477E">
        <w:rPr>
          <w:rFonts w:eastAsia="標楷體"/>
          <w:sz w:val="26"/>
          <w:szCs w:val="24"/>
          <w:lang w:val="zh-TW"/>
        </w:rPr>
        <w:t>之</w:t>
      </w:r>
      <w:r w:rsidRPr="00EC477E">
        <w:rPr>
          <w:rFonts w:eastAsia="標楷體"/>
          <w:sz w:val="26"/>
          <w:szCs w:val="24"/>
        </w:rPr>
        <w:t>人數</w:t>
      </w:r>
    </w:p>
    <w:p w:rsidR="00F4347A" w:rsidRPr="00EC477E" w:rsidRDefault="00F4347A" w:rsidP="00F4347A">
      <w:pPr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進行根治性放射治療總人數</w:t>
      </w:r>
    </w:p>
    <w:p w:rsidR="00F4347A" w:rsidRPr="00EC477E" w:rsidRDefault="00F4347A" w:rsidP="00F4347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病人接受放射治療時，劑量符合標準政策之比率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 xml:space="preserve">:90% </w:t>
      </w:r>
    </w:p>
    <w:p w:rsidR="00F4347A" w:rsidRPr="00EC477E" w:rsidRDefault="00F4347A" w:rsidP="00F4347A">
      <w:pPr>
        <w:pStyle w:val="20"/>
        <w:autoSpaceDE w:val="0"/>
        <w:autoSpaceDN w:val="0"/>
        <w:adjustRightInd w:val="0"/>
        <w:snapToGrid w:val="0"/>
        <w:spacing w:line="276" w:lineRule="auto"/>
        <w:ind w:leftChars="176" w:left="422" w:firstLineChars="0" w:firstLine="0"/>
        <w:jc w:val="both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EC477E">
        <w:rPr>
          <w:rFonts w:eastAsia="標楷體"/>
          <w:sz w:val="26"/>
          <w:szCs w:val="24"/>
        </w:rPr>
        <w:t>療程完成時</w:t>
      </w:r>
      <w:r>
        <w:rPr>
          <w:rFonts w:eastAsia="標楷體"/>
          <w:sz w:val="26"/>
          <w:szCs w:val="24"/>
        </w:rPr>
        <w:t>，</w:t>
      </w:r>
      <w:r w:rsidRPr="00EC477E">
        <w:rPr>
          <w:rFonts w:eastAsia="標楷體"/>
          <w:sz w:val="26"/>
          <w:szCs w:val="24"/>
        </w:rPr>
        <w:t>總劑量與</w:t>
      </w:r>
      <w:r w:rsidRPr="00EC477E">
        <w:rPr>
          <w:rFonts w:eastAsia="標楷體"/>
          <w:sz w:val="26"/>
          <w:szCs w:val="24"/>
          <w:lang w:val="zh-TW"/>
        </w:rPr>
        <w:t>標準劑量誤差為正負</w:t>
      </w:r>
      <w:r w:rsidRPr="00EC477E">
        <w:rPr>
          <w:rFonts w:eastAsia="標楷體"/>
          <w:sz w:val="26"/>
          <w:szCs w:val="24"/>
          <w:lang w:val="zh-TW"/>
        </w:rPr>
        <w:t>(</w:t>
      </w:r>
      <w:r w:rsidRPr="00EC477E">
        <w:rPr>
          <w:rFonts w:eastAsia="標楷體"/>
          <w:sz w:val="26"/>
          <w:szCs w:val="24"/>
          <w:lang w:val="zh-TW"/>
        </w:rPr>
        <w:t>含</w:t>
      </w:r>
      <w:r w:rsidRPr="00EC477E">
        <w:rPr>
          <w:rFonts w:eastAsia="標楷體"/>
          <w:sz w:val="26"/>
          <w:szCs w:val="24"/>
          <w:lang w:val="zh-TW"/>
        </w:rPr>
        <w:t>)10%</w:t>
      </w:r>
      <w:r w:rsidRPr="00EC477E">
        <w:rPr>
          <w:rFonts w:eastAsia="標楷體"/>
          <w:sz w:val="26"/>
          <w:szCs w:val="24"/>
          <w:lang w:val="zh-TW"/>
        </w:rPr>
        <w:t>以內之人數</w:t>
      </w:r>
    </w:p>
    <w:p w:rsidR="00F4347A" w:rsidRPr="00EC477E" w:rsidRDefault="00F4347A" w:rsidP="00F4347A">
      <w:pPr>
        <w:pStyle w:val="20"/>
        <w:autoSpaceDE w:val="0"/>
        <w:autoSpaceDN w:val="0"/>
        <w:adjustRightInd w:val="0"/>
        <w:snapToGrid w:val="0"/>
        <w:spacing w:line="276" w:lineRule="auto"/>
        <w:ind w:leftChars="68" w:left="163" w:firstLineChars="100" w:firstLine="260"/>
        <w:jc w:val="both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進行根治性放射治療總人數</w:t>
      </w:r>
    </w:p>
    <w:p w:rsidR="00F4347A" w:rsidRPr="00EC477E" w:rsidRDefault="00F4347A" w:rsidP="00F4347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病人接受放射治療時，治療時間符合標準政策之比率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 xml:space="preserve">:90% </w:t>
      </w:r>
    </w:p>
    <w:p w:rsidR="00F4347A" w:rsidRPr="00EC477E" w:rsidRDefault="00F4347A" w:rsidP="00F4347A">
      <w:pPr>
        <w:autoSpaceDE w:val="0"/>
        <w:autoSpaceDN w:val="0"/>
        <w:adjustRightInd w:val="0"/>
        <w:spacing w:line="276" w:lineRule="auto"/>
        <w:ind w:leftChars="108" w:left="259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EC477E">
        <w:rPr>
          <w:rFonts w:eastAsia="標楷體"/>
          <w:sz w:val="26"/>
          <w:szCs w:val="24"/>
        </w:rPr>
        <w:t>療程完成時，總治療時間與</w:t>
      </w:r>
      <w:r w:rsidRPr="00EC477E">
        <w:rPr>
          <w:rFonts w:eastAsia="標楷體"/>
          <w:sz w:val="26"/>
          <w:szCs w:val="24"/>
          <w:lang w:val="zh-TW"/>
        </w:rPr>
        <w:t>標準</w:t>
      </w:r>
      <w:r w:rsidRPr="00EC477E">
        <w:rPr>
          <w:rFonts w:eastAsia="標楷體"/>
          <w:sz w:val="26"/>
          <w:szCs w:val="24"/>
        </w:rPr>
        <w:t>治療時間</w:t>
      </w:r>
      <w:r w:rsidRPr="00EC477E">
        <w:rPr>
          <w:rFonts w:eastAsia="標楷體"/>
          <w:sz w:val="26"/>
          <w:szCs w:val="24"/>
          <w:lang w:val="zh-TW"/>
        </w:rPr>
        <w:t>誤差為正負</w:t>
      </w:r>
      <w:r w:rsidRPr="00EC477E">
        <w:rPr>
          <w:rFonts w:eastAsia="標楷體"/>
          <w:sz w:val="26"/>
          <w:szCs w:val="24"/>
          <w:lang w:val="zh-TW"/>
        </w:rPr>
        <w:t>(</w:t>
      </w:r>
      <w:r w:rsidRPr="00EC477E">
        <w:rPr>
          <w:rFonts w:eastAsia="標楷體"/>
          <w:sz w:val="26"/>
          <w:szCs w:val="24"/>
          <w:lang w:val="zh-TW"/>
        </w:rPr>
        <w:t>含</w:t>
      </w:r>
      <w:r w:rsidRPr="00EC477E">
        <w:rPr>
          <w:rFonts w:eastAsia="標楷體"/>
          <w:sz w:val="26"/>
          <w:szCs w:val="24"/>
          <w:lang w:val="zh-TW"/>
        </w:rPr>
        <w:t>)</w:t>
      </w:r>
      <w:r w:rsidRPr="00EC477E">
        <w:rPr>
          <w:rFonts w:eastAsia="標楷體"/>
          <w:sz w:val="26"/>
          <w:szCs w:val="24"/>
          <w:lang w:val="zh-TW"/>
        </w:rPr>
        <w:t>兩週</w:t>
      </w:r>
      <w:r w:rsidRPr="00F7266D">
        <w:rPr>
          <w:rFonts w:eastAsia="標楷體"/>
          <w:sz w:val="26"/>
          <w:szCs w:val="24"/>
          <w:lang w:val="zh-TW"/>
        </w:rPr>
        <w:t>之人數</w:t>
      </w:r>
    </w:p>
    <w:p w:rsidR="00F4347A" w:rsidRPr="00EC477E" w:rsidRDefault="00F4347A" w:rsidP="00F4347A">
      <w:pPr>
        <w:autoSpaceDE w:val="0"/>
        <w:autoSpaceDN w:val="0"/>
        <w:adjustRightInd w:val="0"/>
        <w:snapToGri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進行根治性放射治療總人數</w:t>
      </w:r>
    </w:p>
    <w:p w:rsidR="00F4347A" w:rsidRPr="00EC477E" w:rsidRDefault="00F4347A" w:rsidP="00F4347A">
      <w:pPr>
        <w:pStyle w:val="20"/>
        <w:numPr>
          <w:ilvl w:val="0"/>
          <w:numId w:val="33"/>
        </w:numPr>
        <w:autoSpaceDE w:val="0"/>
        <w:autoSpaceDN w:val="0"/>
        <w:adjustRightInd w:val="0"/>
        <w:snapToGrid w:val="0"/>
        <w:spacing w:line="276" w:lineRule="auto"/>
        <w:ind w:firstLineChars="0"/>
        <w:jc w:val="both"/>
        <w:rPr>
          <w:rFonts w:eastAsia="標楷體"/>
          <w:bCs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>
        <w:rPr>
          <w:rFonts w:eastAsia="標楷體" w:hint="eastAsia"/>
          <w:sz w:val="26"/>
          <w:szCs w:val="26"/>
        </w:rPr>
        <w:t>攝護腺道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病人接受放射治療時，治療次數符合標準政策之比率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8"/>
        </w:rPr>
        <w:t>閾值</w:t>
      </w:r>
      <w:r w:rsidRPr="00EC477E">
        <w:rPr>
          <w:rFonts w:eastAsia="標楷體"/>
          <w:sz w:val="26"/>
          <w:szCs w:val="28"/>
        </w:rPr>
        <w:t>:9</w:t>
      </w:r>
      <w:r w:rsidRPr="00EC477E">
        <w:rPr>
          <w:rFonts w:eastAsia="標楷體" w:hint="eastAsia"/>
          <w:sz w:val="26"/>
          <w:szCs w:val="28"/>
        </w:rPr>
        <w:t>0</w:t>
      </w:r>
      <w:r w:rsidRPr="00EC477E">
        <w:rPr>
          <w:rFonts w:eastAsia="標楷體"/>
          <w:sz w:val="26"/>
          <w:szCs w:val="28"/>
        </w:rPr>
        <w:t>%</w:t>
      </w:r>
      <w:r w:rsidRPr="00EC477E">
        <w:rPr>
          <w:rFonts w:eastAsia="標楷體"/>
          <w:sz w:val="26"/>
        </w:rPr>
        <w:t>以上</w:t>
      </w:r>
    </w:p>
    <w:p w:rsidR="00F4347A" w:rsidRPr="00F7266D" w:rsidRDefault="00F4347A" w:rsidP="00F4347A">
      <w:pPr>
        <w:pStyle w:val="ab"/>
        <w:autoSpaceDE w:val="0"/>
        <w:autoSpaceDN w:val="0"/>
        <w:adjustRightInd w:val="0"/>
        <w:spacing w:line="276" w:lineRule="auto"/>
        <w:ind w:leftChars="0"/>
        <w:rPr>
          <w:rFonts w:eastAsia="標楷體"/>
          <w:sz w:val="26"/>
          <w:szCs w:val="24"/>
          <w:lang w:val="zh-TW"/>
        </w:rPr>
      </w:pPr>
      <w:r w:rsidRPr="00F7266D">
        <w:rPr>
          <w:rFonts w:eastAsia="標楷體"/>
          <w:sz w:val="26"/>
          <w:szCs w:val="24"/>
        </w:rPr>
        <w:t>分子定義：監測期間內，因</w:t>
      </w:r>
      <w:r>
        <w:rPr>
          <w:rFonts w:eastAsia="標楷體" w:hint="eastAsia"/>
          <w:sz w:val="26"/>
          <w:szCs w:val="26"/>
        </w:rPr>
        <w:t>攝護腺道</w:t>
      </w:r>
      <w:r w:rsidRPr="00EE2CEE">
        <w:rPr>
          <w:rFonts w:eastAsia="標楷體"/>
          <w:sz w:val="26"/>
          <w:szCs w:val="26"/>
        </w:rPr>
        <w:t>癌</w:t>
      </w:r>
      <w:r w:rsidRPr="00F7266D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F7266D">
        <w:rPr>
          <w:rFonts w:eastAsia="標楷體"/>
          <w:sz w:val="26"/>
          <w:szCs w:val="24"/>
        </w:rPr>
        <w:t>療程完成時，</w:t>
      </w:r>
      <w:r w:rsidRPr="00F7266D">
        <w:rPr>
          <w:rFonts w:eastAsia="標楷體"/>
          <w:sz w:val="26"/>
          <w:szCs w:val="24"/>
          <w:lang w:val="zh-TW"/>
        </w:rPr>
        <w:t>實際</w:t>
      </w:r>
      <w:r w:rsidRPr="00F7266D">
        <w:rPr>
          <w:rFonts w:eastAsia="標楷體"/>
          <w:sz w:val="26"/>
          <w:szCs w:val="24"/>
        </w:rPr>
        <w:t>次數與</w:t>
      </w:r>
      <w:r w:rsidRPr="00F7266D">
        <w:rPr>
          <w:rFonts w:eastAsia="標楷體"/>
          <w:sz w:val="26"/>
          <w:szCs w:val="24"/>
          <w:lang w:val="zh-TW"/>
        </w:rPr>
        <w:t>標準</w:t>
      </w:r>
      <w:r w:rsidRPr="00F7266D">
        <w:rPr>
          <w:rFonts w:eastAsia="標楷體"/>
          <w:sz w:val="26"/>
          <w:szCs w:val="24"/>
        </w:rPr>
        <w:t>次數</w:t>
      </w:r>
      <w:r w:rsidRPr="00F7266D">
        <w:rPr>
          <w:rFonts w:eastAsia="標楷體"/>
          <w:sz w:val="26"/>
          <w:szCs w:val="24"/>
          <w:lang w:val="zh-TW"/>
        </w:rPr>
        <w:t>誤差為正負</w:t>
      </w:r>
      <w:r w:rsidRPr="00F7266D">
        <w:rPr>
          <w:rFonts w:eastAsia="標楷體"/>
          <w:sz w:val="26"/>
          <w:szCs w:val="24"/>
          <w:lang w:val="zh-TW"/>
        </w:rPr>
        <w:t>(</w:t>
      </w:r>
      <w:r w:rsidRPr="00F7266D">
        <w:rPr>
          <w:rFonts w:eastAsia="標楷體"/>
          <w:sz w:val="26"/>
          <w:szCs w:val="24"/>
          <w:lang w:val="zh-TW"/>
        </w:rPr>
        <w:t>含</w:t>
      </w:r>
      <w:r w:rsidRPr="00F7266D">
        <w:rPr>
          <w:rFonts w:eastAsia="標楷體"/>
          <w:sz w:val="26"/>
          <w:szCs w:val="24"/>
          <w:lang w:val="zh-TW"/>
        </w:rPr>
        <w:t>)10%</w:t>
      </w:r>
      <w:r w:rsidRPr="00F7266D">
        <w:rPr>
          <w:rFonts w:eastAsia="標楷體"/>
          <w:sz w:val="26"/>
          <w:szCs w:val="24"/>
          <w:lang w:val="zh-TW"/>
        </w:rPr>
        <w:t>以內之</w:t>
      </w:r>
      <w:r w:rsidRPr="00F7266D">
        <w:rPr>
          <w:rFonts w:eastAsia="標楷體"/>
          <w:sz w:val="26"/>
          <w:szCs w:val="24"/>
          <w:lang w:val="zh-TW"/>
        </w:rPr>
        <w:lastRenderedPageBreak/>
        <w:t>人數</w:t>
      </w:r>
    </w:p>
    <w:p w:rsidR="00F4347A" w:rsidRPr="00F7266D" w:rsidRDefault="00F4347A" w:rsidP="00F4347A">
      <w:pPr>
        <w:pStyle w:val="ab"/>
        <w:autoSpaceDE w:val="0"/>
        <w:autoSpaceDN w:val="0"/>
        <w:adjustRightInd w:val="0"/>
        <w:spacing w:line="276" w:lineRule="auto"/>
        <w:ind w:leftChars="0"/>
        <w:rPr>
          <w:rFonts w:eastAsia="標楷體"/>
          <w:sz w:val="26"/>
          <w:szCs w:val="24"/>
        </w:rPr>
      </w:pPr>
      <w:r w:rsidRPr="00F7266D">
        <w:rPr>
          <w:rFonts w:eastAsia="標楷體"/>
          <w:sz w:val="26"/>
          <w:szCs w:val="24"/>
        </w:rPr>
        <w:t>分母定義：監測期間內，因</w:t>
      </w:r>
      <w:r w:rsidR="00970130"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F7266D">
        <w:rPr>
          <w:rFonts w:eastAsia="標楷體"/>
          <w:sz w:val="26"/>
          <w:szCs w:val="24"/>
        </w:rPr>
        <w:t>進行根治性放射治療總人數</w:t>
      </w:r>
    </w:p>
    <w:p w:rsidR="00F4347A" w:rsidRPr="00EC477E" w:rsidRDefault="00F4347A" w:rsidP="00F4347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="00970130"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病人接受放射治療時，急性期非血液副作用出現第三級或以上之反應的比率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>:30%</w:t>
      </w:r>
    </w:p>
    <w:p w:rsidR="00F4347A" w:rsidRPr="00EC477E" w:rsidRDefault="00F4347A" w:rsidP="00F4347A">
      <w:pPr>
        <w:pStyle w:val="20"/>
        <w:tabs>
          <w:tab w:val="left" w:pos="993"/>
        </w:tabs>
        <w:snapToGrid w:val="0"/>
        <w:spacing w:line="276" w:lineRule="auto"/>
        <w:ind w:leftChars="74" w:left="178" w:firstLineChars="0" w:firstLine="0"/>
        <w:jc w:val="both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="00970130"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EC477E">
        <w:rPr>
          <w:rFonts w:eastAsia="標楷體"/>
          <w:sz w:val="26"/>
          <w:szCs w:val="24"/>
        </w:rPr>
        <w:t>於療程完成時，急性期副作用出現第三級或以上之反應</w:t>
      </w:r>
      <w:r w:rsidRPr="00EC477E">
        <w:rPr>
          <w:rFonts w:eastAsia="標楷體"/>
          <w:sz w:val="26"/>
          <w:szCs w:val="24"/>
          <w:lang w:val="zh-TW"/>
        </w:rPr>
        <w:t>之人數</w:t>
      </w:r>
    </w:p>
    <w:p w:rsidR="00F4347A" w:rsidRPr="00EC477E" w:rsidRDefault="00F4347A" w:rsidP="00F4347A">
      <w:pPr>
        <w:tabs>
          <w:tab w:val="left" w:pos="12972"/>
        </w:tabs>
        <w:spacing w:line="276" w:lineRule="auto"/>
        <w:ind w:firstLineChars="100" w:firstLine="26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="00970130">
        <w:rPr>
          <w:rFonts w:eastAsia="標楷體" w:hint="eastAsia"/>
          <w:sz w:val="26"/>
          <w:szCs w:val="26"/>
        </w:rPr>
        <w:t>攝護腺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進行根治性放射治療總人數</w:t>
      </w:r>
    </w:p>
    <w:p w:rsidR="00082A29" w:rsidRPr="00970130" w:rsidRDefault="00082A29" w:rsidP="00F4347A">
      <w:pPr>
        <w:autoSpaceDE w:val="0"/>
        <w:autoSpaceDN w:val="0"/>
        <w:adjustRightInd w:val="0"/>
        <w:rPr>
          <w:bCs/>
          <w:kern w:val="0"/>
          <w:szCs w:val="24"/>
        </w:rPr>
      </w:pPr>
    </w:p>
    <w:sectPr w:rsidR="00082A29" w:rsidRPr="00970130" w:rsidSect="003A5E57">
      <w:headerReference w:type="default" r:id="rId21"/>
      <w:footerReference w:type="default" r:id="rId22"/>
      <w:type w:val="continuous"/>
      <w:pgSz w:w="16838" w:h="11906" w:orient="landscape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D41" w:rsidRDefault="00747D41">
      <w:r>
        <w:separator/>
      </w:r>
    </w:p>
  </w:endnote>
  <w:endnote w:type="continuationSeparator" w:id="1">
    <w:p w:rsidR="00747D41" w:rsidRDefault="0074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Segoe UI Symbo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EF" w:rsidRDefault="001464EF" w:rsidP="001464EF">
    <w:pPr>
      <w:pStyle w:val="a9"/>
      <w:jc w:val="center"/>
      <w:rPr>
        <w:rFonts w:eastAsia="標楷體" w:hAnsi="標楷體"/>
        <w:sz w:val="24"/>
        <w:szCs w:val="24"/>
      </w:rPr>
    </w:pPr>
    <w:r>
      <w:rPr>
        <w:rFonts w:eastAsia="標楷體" w:hAnsi="標楷體" w:hint="eastAsia"/>
        <w:sz w:val="24"/>
        <w:szCs w:val="24"/>
      </w:rPr>
      <w:t>2023</w:t>
    </w:r>
    <w:r>
      <w:rPr>
        <w:rFonts w:eastAsia="標楷體" w:hAnsi="標楷體" w:hint="eastAsia"/>
        <w:sz w:val="24"/>
        <w:szCs w:val="24"/>
      </w:rPr>
      <w:t>年</w:t>
    </w:r>
    <w:r>
      <w:rPr>
        <w:rFonts w:eastAsia="標楷體" w:hAnsi="標楷體"/>
        <w:sz w:val="24"/>
        <w:szCs w:val="24"/>
      </w:rPr>
      <w:t>放射治療指引</w:t>
    </w:r>
    <w:r>
      <w:rPr>
        <w:rFonts w:eastAsia="標楷體" w:hAnsi="標楷體" w:hint="eastAsia"/>
        <w:sz w:val="24"/>
        <w:szCs w:val="24"/>
      </w:rPr>
      <w:t>與監測</w:t>
    </w:r>
  </w:p>
  <w:p w:rsidR="001464EF" w:rsidRDefault="001464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81" w:rsidRDefault="0037710C" w:rsidP="000B7281">
    <w:pPr>
      <w:pStyle w:val="a9"/>
      <w:jc w:val="center"/>
    </w:pPr>
    <w:sdt>
      <w:sdtPr>
        <w:id w:val="969400743"/>
        <w:placeholder>
          <w:docPart w:val="EBF8E5F47F5B41FFA0A06525A5B861D7"/>
        </w:placeholder>
        <w:temporary/>
        <w:showingPlcHdr/>
      </w:sdtPr>
      <w:sdtContent>
        <w:r w:rsidR="001E5EB4">
          <w:rPr>
            <w:lang w:val="zh-TW"/>
          </w:rPr>
          <w:t>[</w:t>
        </w:r>
        <w:r w:rsidR="001E5EB4">
          <w:rPr>
            <w:lang w:val="zh-TW"/>
          </w:rPr>
          <w:t>鍵入文字</w:t>
        </w:r>
        <w:r w:rsidR="001E5EB4">
          <w:rPr>
            <w:lang w:val="zh-TW"/>
          </w:rPr>
          <w:t>]</w:t>
        </w:r>
      </w:sdtContent>
    </w:sdt>
    <w:r w:rsidR="001E5EB4">
      <w:ptab w:relativeTo="margin" w:alignment="center" w:leader="none"/>
    </w:r>
  </w:p>
  <w:sdt>
    <w:sdtPr>
      <w:id w:val="265280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B7281" w:rsidRDefault="000B7281" w:rsidP="000B7281">
        <w:pPr>
          <w:pStyle w:val="a9"/>
          <w:jc w:val="center"/>
          <w:rPr>
            <w:rFonts w:eastAsia="標楷體" w:hAnsi="標楷體"/>
            <w:sz w:val="24"/>
            <w:szCs w:val="24"/>
          </w:rPr>
        </w:pPr>
        <w:r>
          <w:rPr>
            <w:rFonts w:eastAsia="標楷體" w:hAnsi="標楷體" w:hint="eastAsia"/>
            <w:sz w:val="24"/>
            <w:szCs w:val="24"/>
          </w:rPr>
          <w:t>202</w:t>
        </w:r>
        <w:r w:rsidR="00F20347">
          <w:rPr>
            <w:rFonts w:eastAsia="標楷體" w:hAnsi="標楷體" w:hint="eastAsia"/>
            <w:sz w:val="24"/>
            <w:szCs w:val="24"/>
          </w:rPr>
          <w:t>3</w:t>
        </w:r>
        <w:r>
          <w:rPr>
            <w:rFonts w:eastAsia="標楷體" w:hAnsi="標楷體" w:hint="eastAsia"/>
            <w:sz w:val="24"/>
            <w:szCs w:val="24"/>
          </w:rPr>
          <w:t>年</w:t>
        </w:r>
        <w:r>
          <w:rPr>
            <w:rFonts w:eastAsia="標楷體" w:hAnsi="標楷體"/>
            <w:sz w:val="24"/>
            <w:szCs w:val="24"/>
          </w:rPr>
          <w:t>放射治療指引</w:t>
        </w:r>
        <w:r>
          <w:rPr>
            <w:rFonts w:eastAsia="標楷體" w:hAnsi="標楷體" w:hint="eastAsia"/>
            <w:sz w:val="24"/>
            <w:szCs w:val="24"/>
          </w:rPr>
          <w:t>與監測</w:t>
        </w:r>
      </w:p>
      <w:p w:rsidR="000B7281" w:rsidRDefault="000B7281" w:rsidP="000B7281">
        <w:pPr>
          <w:pStyle w:val="a9"/>
          <w:jc w:val="center"/>
          <w:rPr>
            <w:sz w:val="28"/>
            <w:szCs w:val="28"/>
          </w:rPr>
        </w:pPr>
        <w:r w:rsidRPr="004532E7">
          <w:rPr>
            <w:rFonts w:hint="eastAsia"/>
            <w:sz w:val="28"/>
            <w:szCs w:val="28"/>
          </w:rPr>
          <w:t xml:space="preserve">Page </w:t>
        </w:r>
        <w:r w:rsidR="0037710C" w:rsidRPr="004532E7">
          <w:rPr>
            <w:sz w:val="28"/>
            <w:szCs w:val="28"/>
          </w:rPr>
          <w:fldChar w:fldCharType="begin"/>
        </w:r>
        <w:r w:rsidRPr="004532E7">
          <w:rPr>
            <w:sz w:val="28"/>
            <w:szCs w:val="28"/>
          </w:rPr>
          <w:instrText>PAGE   \* MERGEFORMAT</w:instrText>
        </w:r>
        <w:r w:rsidR="0037710C" w:rsidRPr="004532E7">
          <w:rPr>
            <w:sz w:val="28"/>
            <w:szCs w:val="28"/>
          </w:rPr>
          <w:fldChar w:fldCharType="separate"/>
        </w:r>
        <w:r w:rsidR="001464EF" w:rsidRPr="001464EF">
          <w:rPr>
            <w:noProof/>
            <w:sz w:val="28"/>
            <w:szCs w:val="28"/>
            <w:lang w:val="zh-TW"/>
          </w:rPr>
          <w:t>10</w:t>
        </w:r>
        <w:r w:rsidR="0037710C" w:rsidRPr="004532E7">
          <w:rPr>
            <w:sz w:val="28"/>
            <w:szCs w:val="28"/>
          </w:rPr>
          <w:fldChar w:fldCharType="end"/>
        </w:r>
      </w:p>
    </w:sdtContent>
  </w:sdt>
  <w:p w:rsidR="001E5EB4" w:rsidRDefault="001E5EB4" w:rsidP="000B7281">
    <w:pPr>
      <w:pStyle w:val="a9"/>
    </w:pPr>
    <w:r>
      <w:ptab w:relativeTo="margin" w:alignment="right" w:leader="none"/>
    </w:r>
    <w:sdt>
      <w:sdtPr>
        <w:id w:val="969400753"/>
        <w:temporary/>
        <w:showingPlcHdr/>
      </w:sdtPr>
      <w:sdtContent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D41" w:rsidRDefault="00747D41">
      <w:r>
        <w:separator/>
      </w:r>
    </w:p>
  </w:footnote>
  <w:footnote w:type="continuationSeparator" w:id="1">
    <w:p w:rsidR="00747D41" w:rsidRDefault="00747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7A" w:rsidRPr="00941B19" w:rsidRDefault="001464EF" w:rsidP="00941B19">
    <w:pPr>
      <w:tabs>
        <w:tab w:val="left" w:pos="12972"/>
      </w:tabs>
      <w:rPr>
        <w:rFonts w:eastAsia="標楷體"/>
        <w:szCs w:val="24"/>
      </w:rPr>
    </w:pPr>
    <w:r>
      <w:rPr>
        <w:rFonts w:eastAsia="標楷體" w:hint="eastAsia"/>
        <w:szCs w:val="24"/>
      </w:rPr>
      <w:t xml:space="preserve">                                                                                              </w:t>
    </w:r>
    <w:r w:rsidR="00F4347A" w:rsidRPr="00941B19">
      <w:rPr>
        <w:rFonts w:eastAsia="標楷體"/>
        <w:szCs w:val="24"/>
      </w:rPr>
      <w:t>20</w:t>
    </w:r>
    <w:r w:rsidR="00F4347A">
      <w:rPr>
        <w:rFonts w:eastAsia="標楷體" w:hint="eastAsia"/>
        <w:szCs w:val="24"/>
      </w:rPr>
      <w:t>23</w:t>
    </w:r>
    <w:r w:rsidR="00F4347A" w:rsidRPr="00941B19">
      <w:rPr>
        <w:rFonts w:eastAsia="標楷體" w:hint="eastAsia"/>
        <w:szCs w:val="24"/>
      </w:rPr>
      <w:t>年</w:t>
    </w:r>
    <w:r w:rsidR="00F4347A" w:rsidRPr="00941B19">
      <w:rPr>
        <w:rFonts w:eastAsia="標楷體"/>
        <w:szCs w:val="24"/>
      </w:rPr>
      <w:t>攝護腺癌放射</w:t>
    </w:r>
    <w:r w:rsidR="00F4347A" w:rsidRPr="00941B19">
      <w:rPr>
        <w:rFonts w:eastAsia="標楷體"/>
        <w:bCs/>
        <w:szCs w:val="24"/>
      </w:rPr>
      <w:t>治療指引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B4" w:rsidRDefault="001E5EB4" w:rsidP="001E5EB4">
    <w:pPr>
      <w:pStyle w:val="a7"/>
      <w:jc w:val="right"/>
    </w:pPr>
    <w:r>
      <w:rPr>
        <w:rFonts w:eastAsia="標楷體" w:hAnsi="標楷體" w:hint="eastAsia"/>
        <w:sz w:val="24"/>
        <w:szCs w:val="24"/>
      </w:rPr>
      <w:t xml:space="preserve"> 202</w:t>
    </w:r>
    <w:r w:rsidR="00F4347A">
      <w:rPr>
        <w:rFonts w:eastAsia="標楷體" w:hAnsi="標楷體" w:hint="eastAsia"/>
        <w:sz w:val="24"/>
        <w:szCs w:val="24"/>
      </w:rPr>
      <w:t>3</w:t>
    </w:r>
    <w:r>
      <w:rPr>
        <w:rFonts w:eastAsia="標楷體" w:hAnsi="標楷體" w:hint="eastAsia"/>
        <w:sz w:val="24"/>
        <w:szCs w:val="24"/>
      </w:rPr>
      <w:t>年</w:t>
    </w:r>
    <w:r w:rsidR="00F4347A">
      <w:rPr>
        <w:rFonts w:eastAsia="標楷體" w:hAnsi="標楷體" w:hint="eastAsia"/>
        <w:sz w:val="24"/>
        <w:szCs w:val="24"/>
      </w:rPr>
      <w:t>攝護腺</w:t>
    </w:r>
    <w:r>
      <w:rPr>
        <w:rFonts w:eastAsia="標楷體" w:hAnsi="標楷體"/>
        <w:sz w:val="24"/>
        <w:szCs w:val="24"/>
      </w:rPr>
      <w:t>癌放射治療指引</w:t>
    </w:r>
  </w:p>
  <w:p w:rsidR="003F290A" w:rsidRPr="00563089" w:rsidRDefault="003F290A" w:rsidP="00A4173F">
    <w:pPr>
      <w:pStyle w:val="a7"/>
      <w:ind w:right="-3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ED3"/>
    <w:multiLevelType w:val="hybridMultilevel"/>
    <w:tmpl w:val="18BE9B6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090D5FA">
      <w:start w:val="10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32B23976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21289D"/>
    <w:multiLevelType w:val="hybridMultilevel"/>
    <w:tmpl w:val="42288AD4"/>
    <w:lvl w:ilvl="0" w:tplc="572E1C4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D009F"/>
    <w:multiLevelType w:val="hybridMultilevel"/>
    <w:tmpl w:val="F8DC91BC"/>
    <w:lvl w:ilvl="0" w:tplc="DC2076C6">
      <w:start w:val="2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>
    <w:nsid w:val="0598536F"/>
    <w:multiLevelType w:val="hybridMultilevel"/>
    <w:tmpl w:val="FFFFFFFF"/>
    <w:lvl w:ilvl="0" w:tplc="2F7897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BA26DE">
      <w:start w:val="1"/>
      <w:numFmt w:val="decimal"/>
      <w:lvlText w:val="%2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268BC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26E4FE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C3C9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420CC0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56DB1E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16ADA0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0CC06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8D0522"/>
    <w:multiLevelType w:val="hybridMultilevel"/>
    <w:tmpl w:val="FFFFFFFF"/>
    <w:lvl w:ilvl="0" w:tplc="37CCDEF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622C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B0AF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D8EC3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AE0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6E80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D4DB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22EE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165DF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491027"/>
    <w:multiLevelType w:val="hybridMultilevel"/>
    <w:tmpl w:val="FFFFFFFF"/>
    <w:lvl w:ilvl="0" w:tplc="9C76C1A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3110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ADE20">
      <w:start w:val="1"/>
      <w:numFmt w:val="decimal"/>
      <w:lvlText w:val="(%3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DE68">
      <w:start w:val="1"/>
      <w:numFmt w:val="decimal"/>
      <w:lvlText w:val="%4."/>
      <w:lvlJc w:val="left"/>
      <w:pPr>
        <w:ind w:left="3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AC3D00">
      <w:start w:val="1"/>
      <w:numFmt w:val="lowerLetter"/>
      <w:lvlText w:val="%5"/>
      <w:lvlJc w:val="left"/>
      <w:pPr>
        <w:ind w:left="5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8640F6">
      <w:start w:val="1"/>
      <w:numFmt w:val="lowerRoman"/>
      <w:lvlText w:val="%6"/>
      <w:lvlJc w:val="left"/>
      <w:pPr>
        <w:ind w:left="6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8C0AA8">
      <w:start w:val="1"/>
      <w:numFmt w:val="decimal"/>
      <w:lvlText w:val="%7"/>
      <w:lvlJc w:val="left"/>
      <w:pPr>
        <w:ind w:left="7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902862">
      <w:start w:val="1"/>
      <w:numFmt w:val="lowerLetter"/>
      <w:lvlText w:val="%8"/>
      <w:lvlJc w:val="left"/>
      <w:pPr>
        <w:ind w:left="7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D838E2">
      <w:start w:val="1"/>
      <w:numFmt w:val="lowerRoman"/>
      <w:lvlText w:val="%9"/>
      <w:lvlJc w:val="left"/>
      <w:pPr>
        <w:ind w:left="8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C955F8"/>
    <w:multiLevelType w:val="hybridMultilevel"/>
    <w:tmpl w:val="FFFFFFFF"/>
    <w:lvl w:ilvl="0" w:tplc="A1BC4164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2EBAC8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1CD138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414CE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883866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36E032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BC0344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D0FF5E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D0066A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DD1AD1"/>
    <w:multiLevelType w:val="hybridMultilevel"/>
    <w:tmpl w:val="FFFFFFFF"/>
    <w:lvl w:ilvl="0" w:tplc="12D27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CA8238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3E035E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F06D08">
      <w:start w:val="1"/>
      <w:numFmt w:val="upperLetter"/>
      <w:lvlRestart w:val="0"/>
      <w:lvlText w:val="%4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56BE80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E8B620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0C14FE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89854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301E1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E956F5"/>
    <w:multiLevelType w:val="hybridMultilevel"/>
    <w:tmpl w:val="FFFFFFFF"/>
    <w:lvl w:ilvl="0" w:tplc="9914F922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4C65B6">
      <w:start w:val="1"/>
      <w:numFmt w:val="upperLetter"/>
      <w:lvlText w:val="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18F6F8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CEB3E8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A083B0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20BE62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E0B4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BAC088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FC563A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963D81"/>
    <w:multiLevelType w:val="hybridMultilevel"/>
    <w:tmpl w:val="74648F1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F415677"/>
    <w:multiLevelType w:val="hybridMultilevel"/>
    <w:tmpl w:val="9F3EB2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F795AA0"/>
    <w:multiLevelType w:val="hybridMultilevel"/>
    <w:tmpl w:val="1366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DF4BDBA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E96A219A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03566CF"/>
    <w:multiLevelType w:val="hybridMultilevel"/>
    <w:tmpl w:val="C3B0CA42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3F976B1"/>
    <w:multiLevelType w:val="hybridMultilevel"/>
    <w:tmpl w:val="33F224B6"/>
    <w:lvl w:ilvl="0" w:tplc="E7E004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53411C7"/>
    <w:multiLevelType w:val="hybridMultilevel"/>
    <w:tmpl w:val="58785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1048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0B5C7A"/>
    <w:multiLevelType w:val="hybridMultilevel"/>
    <w:tmpl w:val="FFFFFFFF"/>
    <w:lvl w:ilvl="0" w:tplc="FEFE1FF8">
      <w:start w:val="5"/>
      <w:numFmt w:val="ideographDigital"/>
      <w:lvlText w:val="%1、"/>
      <w:lvlJc w:val="left"/>
      <w:pPr>
        <w:ind w:left="54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22DE2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E4B9E">
      <w:start w:val="1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4AF46">
      <w:start w:val="1"/>
      <w:numFmt w:val="decimal"/>
      <w:lvlText w:val="%4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AE14F0">
      <w:start w:val="1"/>
      <w:numFmt w:val="lowerLetter"/>
      <w:lvlText w:val="%5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A2AC06">
      <w:start w:val="1"/>
      <w:numFmt w:val="lowerRoman"/>
      <w:lvlText w:val="%6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AA2E4">
      <w:start w:val="1"/>
      <w:numFmt w:val="decimal"/>
      <w:lvlText w:val="%7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9C7880">
      <w:start w:val="1"/>
      <w:numFmt w:val="lowerLetter"/>
      <w:lvlText w:val="%8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2ABDDC">
      <w:start w:val="1"/>
      <w:numFmt w:val="lowerRoman"/>
      <w:lvlText w:val="%9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6394615"/>
    <w:multiLevelType w:val="hybridMultilevel"/>
    <w:tmpl w:val="FFFFFFFF"/>
    <w:lvl w:ilvl="0" w:tplc="B6F0C06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A4CCE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FE8B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5C23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B2CC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AE7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26CC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924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C0A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EE443AA"/>
    <w:multiLevelType w:val="hybridMultilevel"/>
    <w:tmpl w:val="FFFFFFFF"/>
    <w:lvl w:ilvl="0" w:tplc="1046BD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88C8">
      <w:start w:val="1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E2220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2CFB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C9728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2D21E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621C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4D00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C8BA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F0156A"/>
    <w:multiLevelType w:val="hybridMultilevel"/>
    <w:tmpl w:val="FFFFFFFF"/>
    <w:lvl w:ilvl="0" w:tplc="837C97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2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ABA22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6716A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C36C6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D237B4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8E5D78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8CDAA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2A8D7C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21D694E"/>
    <w:multiLevelType w:val="hybridMultilevel"/>
    <w:tmpl w:val="FFFFFFFF"/>
    <w:lvl w:ilvl="0" w:tplc="345E5B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6C46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704E1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8AC6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C46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66B2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041EC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09FF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28ABC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792C84"/>
    <w:multiLevelType w:val="hybridMultilevel"/>
    <w:tmpl w:val="FFFFFFFF"/>
    <w:lvl w:ilvl="0" w:tplc="025E22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989A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43F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0B33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4AC9F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F61FA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58800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217C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CADA6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33B4B74"/>
    <w:multiLevelType w:val="hybridMultilevel"/>
    <w:tmpl w:val="80326348"/>
    <w:lvl w:ilvl="0" w:tplc="924634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4F51778"/>
    <w:multiLevelType w:val="hybridMultilevel"/>
    <w:tmpl w:val="FFFFFFFF"/>
    <w:lvl w:ilvl="0" w:tplc="FB22EF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0650">
      <w:start w:val="3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2A9AA">
      <w:start w:val="1"/>
      <w:numFmt w:val="lowerRoman"/>
      <w:lvlText w:val="%3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00778">
      <w:start w:val="1"/>
      <w:numFmt w:val="decimal"/>
      <w:lvlText w:val="%4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EA42E">
      <w:start w:val="1"/>
      <w:numFmt w:val="lowerLetter"/>
      <w:lvlText w:val="%5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A4956">
      <w:start w:val="1"/>
      <w:numFmt w:val="lowerRoman"/>
      <w:lvlText w:val="%6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05E94">
      <w:start w:val="1"/>
      <w:numFmt w:val="decimal"/>
      <w:lvlText w:val="%7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1A36">
      <w:start w:val="1"/>
      <w:numFmt w:val="lowerLetter"/>
      <w:lvlText w:val="%8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0C7E">
      <w:start w:val="1"/>
      <w:numFmt w:val="lowerRoman"/>
      <w:lvlText w:val="%9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C03AEF"/>
    <w:multiLevelType w:val="hybridMultilevel"/>
    <w:tmpl w:val="66BE1628"/>
    <w:lvl w:ilvl="0" w:tplc="77E2AE20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8753C7F"/>
    <w:multiLevelType w:val="hybridMultilevel"/>
    <w:tmpl w:val="597689B6"/>
    <w:lvl w:ilvl="0" w:tplc="7A6E4E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i w:val="0"/>
      </w:rPr>
    </w:lvl>
    <w:lvl w:ilvl="1" w:tplc="DC5A0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97BEBEF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BAB01EE"/>
    <w:multiLevelType w:val="hybridMultilevel"/>
    <w:tmpl w:val="FFFFFFFF"/>
    <w:lvl w:ilvl="0" w:tplc="4B66210C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92AA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816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2656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E6D0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2635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C409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3E8A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38EA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D73AF5"/>
    <w:multiLevelType w:val="hybridMultilevel"/>
    <w:tmpl w:val="AE801774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F0D92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D002832">
      <w:start w:val="1"/>
      <w:numFmt w:val="decimal"/>
      <w:lvlText w:val="%3."/>
      <w:lvlJc w:val="left"/>
      <w:pPr>
        <w:tabs>
          <w:tab w:val="num" w:pos="1673"/>
        </w:tabs>
        <w:ind w:left="1673" w:hanging="396"/>
      </w:pPr>
      <w:rPr>
        <w:rFonts w:hint="eastAsia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28D0CC9"/>
    <w:multiLevelType w:val="hybridMultilevel"/>
    <w:tmpl w:val="5D9A5998"/>
    <w:lvl w:ilvl="0" w:tplc="979EF340">
      <w:start w:val="1"/>
      <w:numFmt w:val="upperLetter"/>
      <w:lvlText w:val="%1."/>
      <w:lvlJc w:val="left"/>
      <w:pPr>
        <w:tabs>
          <w:tab w:val="num" w:pos="1176"/>
        </w:tabs>
        <w:ind w:left="1176" w:hanging="384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2"/>
        </w:tabs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28">
    <w:nsid w:val="332666D0"/>
    <w:multiLevelType w:val="hybridMultilevel"/>
    <w:tmpl w:val="3766AD22"/>
    <w:lvl w:ilvl="0" w:tplc="526EAC50">
      <w:start w:val="1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ascii="Times New Roman" w:hAnsi="Times New Roman" w:hint="default"/>
        <w:sz w:val="26"/>
        <w:szCs w:val="26"/>
      </w:rPr>
    </w:lvl>
    <w:lvl w:ilvl="1" w:tplc="7BE46D70">
      <w:start w:val="1"/>
      <w:numFmt w:val="taiwaneseCountingThousand"/>
      <w:lvlText w:val="%2、"/>
      <w:lvlJc w:val="left"/>
      <w:pPr>
        <w:ind w:left="556" w:hanging="720"/>
      </w:pPr>
      <w:rPr>
        <w:rFonts w:hint="default"/>
        <w:lang w:val="en-US"/>
      </w:rPr>
    </w:lvl>
    <w:lvl w:ilvl="2" w:tplc="32E4CE9E">
      <w:start w:val="2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76"/>
        </w:tabs>
        <w:ind w:left="12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6"/>
        </w:tabs>
        <w:ind w:left="17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6"/>
        </w:tabs>
        <w:ind w:left="27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6"/>
        </w:tabs>
        <w:ind w:left="31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6"/>
        </w:tabs>
        <w:ind w:left="3676" w:hanging="480"/>
      </w:pPr>
    </w:lvl>
  </w:abstractNum>
  <w:abstractNum w:abstractNumId="29">
    <w:nsid w:val="34AD7E49"/>
    <w:multiLevelType w:val="hybridMultilevel"/>
    <w:tmpl w:val="F6A6F552"/>
    <w:lvl w:ilvl="0" w:tplc="0409001B">
      <w:start w:val="1"/>
      <w:numFmt w:val="lowerRoman"/>
      <w:lvlText w:val="%1."/>
      <w:lvlJc w:val="righ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30">
    <w:nsid w:val="357B7A85"/>
    <w:multiLevelType w:val="hybridMultilevel"/>
    <w:tmpl w:val="FFFFFFFF"/>
    <w:lvl w:ilvl="0" w:tplc="0C3CD9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65D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38765A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04B3F0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E2968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56EF4A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161070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445F38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941BA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6C02727"/>
    <w:multiLevelType w:val="hybridMultilevel"/>
    <w:tmpl w:val="63DC77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E8AFE2">
      <w:start w:val="1"/>
      <w:numFmt w:val="decimal"/>
      <w:lvlText w:val="%2."/>
      <w:lvlJc w:val="left"/>
      <w:pPr>
        <w:ind w:left="906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825142C"/>
    <w:multiLevelType w:val="hybridMultilevel"/>
    <w:tmpl w:val="46AC9DEC"/>
    <w:lvl w:ilvl="0" w:tplc="A3103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2AE0A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03633C"/>
    <w:multiLevelType w:val="hybridMultilevel"/>
    <w:tmpl w:val="B80C24C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4">
    <w:nsid w:val="3A65721E"/>
    <w:multiLevelType w:val="hybridMultilevel"/>
    <w:tmpl w:val="FFFFFFFF"/>
    <w:lvl w:ilvl="0" w:tplc="863ACFA4">
      <w:start w:val="2"/>
      <w:numFmt w:val="ideographDigital"/>
      <w:lvlText w:val="%1、"/>
      <w:lvlJc w:val="left"/>
      <w:pPr>
        <w:ind w:left="5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94220C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4CE452">
      <w:start w:val="1"/>
      <w:numFmt w:val="decimal"/>
      <w:lvlText w:val="%3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720550">
      <w:start w:val="1"/>
      <w:numFmt w:val="decimal"/>
      <w:lvlText w:val="(%4)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CA40C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6132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A1A6C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9D38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2618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D080E92"/>
    <w:multiLevelType w:val="hybridMultilevel"/>
    <w:tmpl w:val="FFFFFFFF"/>
    <w:lvl w:ilvl="0" w:tplc="45DA15DE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94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4B7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601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6AF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009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004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CE8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CE0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DD254FE"/>
    <w:multiLevelType w:val="hybridMultilevel"/>
    <w:tmpl w:val="BD424310"/>
    <w:lvl w:ilvl="0" w:tplc="0409001B">
      <w:start w:val="1"/>
      <w:numFmt w:val="lowerRoman"/>
      <w:lvlText w:val="%1."/>
      <w:lvlJc w:val="right"/>
      <w:pPr>
        <w:ind w:left="13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37">
    <w:nsid w:val="41F47C33"/>
    <w:multiLevelType w:val="hybridMultilevel"/>
    <w:tmpl w:val="4148C848"/>
    <w:lvl w:ilvl="0" w:tplc="F7B8E6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1EBA234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2" w:tplc="349A715E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45EB7D80"/>
    <w:multiLevelType w:val="hybridMultilevel"/>
    <w:tmpl w:val="52D89AC6"/>
    <w:lvl w:ilvl="0" w:tplc="E3083A22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1" w:tplc="176276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5FE6292"/>
    <w:multiLevelType w:val="hybridMultilevel"/>
    <w:tmpl w:val="FFFFFFFF"/>
    <w:lvl w:ilvl="0" w:tplc="9AD4626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859A4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C5C6C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A02B18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A63802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743E3C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C2657C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00889E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5E929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69510C7"/>
    <w:multiLevelType w:val="hybridMultilevel"/>
    <w:tmpl w:val="EFDEAD44"/>
    <w:lvl w:ilvl="0" w:tplc="AD1CB5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47432A73"/>
    <w:multiLevelType w:val="hybridMultilevel"/>
    <w:tmpl w:val="FFFFFFFF"/>
    <w:lvl w:ilvl="0" w:tplc="5C7EB8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08A54">
      <w:start w:val="1"/>
      <w:numFmt w:val="decimal"/>
      <w:lvlText w:val="(%2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6FEB6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45F52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0BEA0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EA99A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B60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CD500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2EB7C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75F45C4"/>
    <w:multiLevelType w:val="hybridMultilevel"/>
    <w:tmpl w:val="FFFFFFFF"/>
    <w:lvl w:ilvl="0" w:tplc="7B4C7C8C">
      <w:start w:val="2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263B94">
      <w:start w:val="1"/>
      <w:numFmt w:val="decimal"/>
      <w:lvlText w:val="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66FB54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6C18">
      <w:start w:val="1"/>
      <w:numFmt w:val="decimal"/>
      <w:lvlText w:val="%4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24664">
      <w:start w:val="1"/>
      <w:numFmt w:val="lowerLetter"/>
      <w:lvlText w:val="%5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015CA">
      <w:start w:val="1"/>
      <w:numFmt w:val="lowerRoman"/>
      <w:lvlText w:val="%6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0FBEC">
      <w:start w:val="1"/>
      <w:numFmt w:val="decimal"/>
      <w:lvlText w:val="%7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CC82E">
      <w:start w:val="1"/>
      <w:numFmt w:val="lowerLetter"/>
      <w:lvlText w:val="%8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CEE20">
      <w:start w:val="1"/>
      <w:numFmt w:val="lowerRoman"/>
      <w:lvlText w:val="%9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7647AB1"/>
    <w:multiLevelType w:val="hybridMultilevel"/>
    <w:tmpl w:val="FFFFFFFF"/>
    <w:lvl w:ilvl="0" w:tplc="3EDE30AA">
      <w:start w:val="1"/>
      <w:numFmt w:val="ideographDigital"/>
      <w:lvlText w:val="%1、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B49D1C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EE6ABC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6ADB2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6B60A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84905E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BAB53C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8CCCEE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2A1B0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7D200A6"/>
    <w:multiLevelType w:val="hybridMultilevel"/>
    <w:tmpl w:val="FFFFFFFF"/>
    <w:lvl w:ilvl="0" w:tplc="2A1CB6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9BE2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E8A1C">
      <w:start w:val="1"/>
      <w:numFmt w:val="lowerRoman"/>
      <w:lvlText w:val="%3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23B64">
      <w:start w:val="1"/>
      <w:numFmt w:val="upperLetter"/>
      <w:lvlRestart w:val="0"/>
      <w:lvlText w:val="%4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E80EC">
      <w:start w:val="1"/>
      <w:numFmt w:val="lowerLetter"/>
      <w:lvlText w:val="%5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0AADE">
      <w:start w:val="1"/>
      <w:numFmt w:val="lowerRoman"/>
      <w:lvlText w:val="%6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1320">
      <w:start w:val="1"/>
      <w:numFmt w:val="decimal"/>
      <w:lvlText w:val="%7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A68">
      <w:start w:val="1"/>
      <w:numFmt w:val="lowerLetter"/>
      <w:lvlText w:val="%8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3B64">
      <w:start w:val="1"/>
      <w:numFmt w:val="lowerRoman"/>
      <w:lvlText w:val="%9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8DB3DC1"/>
    <w:multiLevelType w:val="hybridMultilevel"/>
    <w:tmpl w:val="CF9E8F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9064275"/>
    <w:multiLevelType w:val="hybridMultilevel"/>
    <w:tmpl w:val="FFFFFFFF"/>
    <w:lvl w:ilvl="0" w:tplc="9C76C1A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3110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ADE20">
      <w:start w:val="1"/>
      <w:numFmt w:val="decimal"/>
      <w:lvlText w:val="(%3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DE68">
      <w:start w:val="1"/>
      <w:numFmt w:val="decimal"/>
      <w:lvlText w:val="%4."/>
      <w:lvlJc w:val="left"/>
      <w:pPr>
        <w:ind w:left="3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AC3D00">
      <w:start w:val="1"/>
      <w:numFmt w:val="lowerLetter"/>
      <w:lvlText w:val="%5"/>
      <w:lvlJc w:val="left"/>
      <w:pPr>
        <w:ind w:left="5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8640F6">
      <w:start w:val="1"/>
      <w:numFmt w:val="lowerRoman"/>
      <w:lvlText w:val="%6"/>
      <w:lvlJc w:val="left"/>
      <w:pPr>
        <w:ind w:left="6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8C0AA8">
      <w:start w:val="1"/>
      <w:numFmt w:val="decimal"/>
      <w:lvlText w:val="%7"/>
      <w:lvlJc w:val="left"/>
      <w:pPr>
        <w:ind w:left="7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902862">
      <w:start w:val="1"/>
      <w:numFmt w:val="lowerLetter"/>
      <w:lvlText w:val="%8"/>
      <w:lvlJc w:val="left"/>
      <w:pPr>
        <w:ind w:left="7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D838E2">
      <w:start w:val="1"/>
      <w:numFmt w:val="lowerRoman"/>
      <w:lvlText w:val="%9"/>
      <w:lvlJc w:val="left"/>
      <w:pPr>
        <w:ind w:left="8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93E1E23"/>
    <w:multiLevelType w:val="hybridMultilevel"/>
    <w:tmpl w:val="4C90AE2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EC702E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8">
    <w:nsid w:val="4B1D6157"/>
    <w:multiLevelType w:val="hybridMultilevel"/>
    <w:tmpl w:val="68D42D0C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729EA948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ascii="Times New Roman" w:eastAsia="標楷體" w:hAnsi="Times New Roman" w:cs="Times New Roman" w:hint="default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836"/>
        </w:tabs>
        <w:ind w:left="1836" w:hanging="396"/>
      </w:pPr>
      <w:rPr>
        <w:rFonts w:hint="default"/>
        <w:sz w:val="26"/>
        <w:szCs w:val="2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52F711E6"/>
    <w:multiLevelType w:val="hybridMultilevel"/>
    <w:tmpl w:val="CA3847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53DC5976"/>
    <w:multiLevelType w:val="hybridMultilevel"/>
    <w:tmpl w:val="9AF8BEE8"/>
    <w:lvl w:ilvl="0" w:tplc="62F8210A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sz w:val="24"/>
      </w:rPr>
    </w:lvl>
    <w:lvl w:ilvl="1" w:tplc="8DDE0B5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2" w:tplc="1D2C8A50">
      <w:start w:val="1"/>
      <w:numFmt w:val="decimal"/>
      <w:lvlText w:val="%3."/>
      <w:lvlJc w:val="left"/>
      <w:pPr>
        <w:tabs>
          <w:tab w:val="num" w:pos="2304"/>
        </w:tabs>
        <w:ind w:left="2304" w:hanging="384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1">
    <w:nsid w:val="5513743F"/>
    <w:multiLevelType w:val="hybridMultilevel"/>
    <w:tmpl w:val="FFFFFFFF"/>
    <w:lvl w:ilvl="0" w:tplc="ACEC6A72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8D736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FA9A92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40121A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1A1944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1237B2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EF0D6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FE9688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0318E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90733E1"/>
    <w:multiLevelType w:val="hybridMultilevel"/>
    <w:tmpl w:val="50E49948"/>
    <w:lvl w:ilvl="0" w:tplc="15F0F1E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53">
    <w:nsid w:val="5B3F55FE"/>
    <w:multiLevelType w:val="hybridMultilevel"/>
    <w:tmpl w:val="9E1E4B6A"/>
    <w:lvl w:ilvl="0" w:tplc="B77A4CE8">
      <w:start w:val="1"/>
      <w:numFmt w:val="upperLetter"/>
      <w:lvlText w:val="%1."/>
      <w:lvlJc w:val="left"/>
      <w:pPr>
        <w:tabs>
          <w:tab w:val="num" w:pos="1440"/>
        </w:tabs>
        <w:ind w:left="1440" w:hanging="396"/>
      </w:pPr>
      <w:rPr>
        <w:rFonts w:ascii="Times New Roman" w:eastAsia="標楷體" w:hAnsi="Times New Roman" w:cs="Times New Roman" w:hint="default"/>
        <w:sz w:val="26"/>
      </w:rPr>
    </w:lvl>
    <w:lvl w:ilvl="1" w:tplc="069612E0">
      <w:start w:val="1"/>
      <w:numFmt w:val="decimal"/>
      <w:lvlText w:val="%2."/>
      <w:lvlJc w:val="left"/>
      <w:pPr>
        <w:tabs>
          <w:tab w:val="num" w:pos="1884"/>
        </w:tabs>
        <w:ind w:left="1884" w:hanging="360"/>
      </w:pPr>
      <w:rPr>
        <w:rFonts w:hint="eastAsia"/>
      </w:rPr>
    </w:lvl>
    <w:lvl w:ilvl="2" w:tplc="A1828BD2">
      <w:start w:val="1"/>
      <w:numFmt w:val="taiwaneseCountingThousand"/>
      <w:lvlText w:val="%3、"/>
      <w:lvlJc w:val="left"/>
      <w:pPr>
        <w:ind w:left="272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64"/>
        </w:tabs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4"/>
        </w:tabs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4"/>
        </w:tabs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4"/>
        </w:tabs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4"/>
        </w:tabs>
        <w:ind w:left="5364" w:hanging="480"/>
      </w:pPr>
    </w:lvl>
  </w:abstractNum>
  <w:abstractNum w:abstractNumId="54">
    <w:nsid w:val="5BBF6AC0"/>
    <w:multiLevelType w:val="hybridMultilevel"/>
    <w:tmpl w:val="FFFFFFFF"/>
    <w:lvl w:ilvl="0" w:tplc="08B8DC48">
      <w:start w:val="3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96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AD7A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799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8FA6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F2A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934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2CF6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8C44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CA278D7"/>
    <w:multiLevelType w:val="hybridMultilevel"/>
    <w:tmpl w:val="3CD07D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CF43874"/>
    <w:multiLevelType w:val="hybridMultilevel"/>
    <w:tmpl w:val="7B82CFC8"/>
    <w:lvl w:ilvl="0" w:tplc="7A9C43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B4AA5CA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D100693"/>
    <w:multiLevelType w:val="hybridMultilevel"/>
    <w:tmpl w:val="FFFFFFFF"/>
    <w:lvl w:ilvl="0" w:tplc="BF42F0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4A44B2">
      <w:start w:val="1"/>
      <w:numFmt w:val="upperLetter"/>
      <w:lvlText w:val="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708A24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1222F6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62D432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C74EA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60F0B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567824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182620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E6802A3"/>
    <w:multiLevelType w:val="hybridMultilevel"/>
    <w:tmpl w:val="FFFFFFFF"/>
    <w:lvl w:ilvl="0" w:tplc="A3BE60CE">
      <w:start w:val="3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603452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107D4A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A42C2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84778A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EC8DEE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C8F8BA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2C389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9C7364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EB06365"/>
    <w:multiLevelType w:val="hybridMultilevel"/>
    <w:tmpl w:val="D458B9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61153E62"/>
    <w:multiLevelType w:val="hybridMultilevel"/>
    <w:tmpl w:val="FFFFFFFF"/>
    <w:lvl w:ilvl="0" w:tplc="C7DE11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CC5DE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E569A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CCADE">
      <w:start w:val="1"/>
      <w:numFmt w:val="decimal"/>
      <w:lvlRestart w:val="0"/>
      <w:lvlText w:val="(%4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8F718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C541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A51E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02E4E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4DAB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30D379F"/>
    <w:multiLevelType w:val="hybridMultilevel"/>
    <w:tmpl w:val="3F421188"/>
    <w:lvl w:ilvl="0" w:tplc="BB342B66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2">
    <w:nsid w:val="6B0D19A5"/>
    <w:multiLevelType w:val="hybridMultilevel"/>
    <w:tmpl w:val="FFFFFFFF"/>
    <w:lvl w:ilvl="0" w:tplc="2BA48FA2">
      <w:start w:val="1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9C2E20">
      <w:start w:val="1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5EBBB6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EC4B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CF4A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E6FC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8B94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838F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09BE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6FFB33D1"/>
    <w:multiLevelType w:val="hybridMultilevel"/>
    <w:tmpl w:val="6144D48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4">
    <w:nsid w:val="70984629"/>
    <w:multiLevelType w:val="hybridMultilevel"/>
    <w:tmpl w:val="FFFFFFFF"/>
    <w:lvl w:ilvl="0" w:tplc="910E39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695B6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20A8FE">
      <w:start w:val="6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A3618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EA6790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26184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F40DA4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E2F5A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2418E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154725F"/>
    <w:multiLevelType w:val="hybridMultilevel"/>
    <w:tmpl w:val="212287A4"/>
    <w:lvl w:ilvl="0" w:tplc="F362A13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6">
    <w:nsid w:val="755B7F56"/>
    <w:multiLevelType w:val="hybridMultilevel"/>
    <w:tmpl w:val="FFFFFFFF"/>
    <w:lvl w:ilvl="0" w:tplc="9C76C1A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3110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ADE20">
      <w:start w:val="1"/>
      <w:numFmt w:val="decimal"/>
      <w:lvlText w:val="(%3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DE68">
      <w:start w:val="1"/>
      <w:numFmt w:val="decimal"/>
      <w:lvlText w:val="%4."/>
      <w:lvlJc w:val="left"/>
      <w:pPr>
        <w:ind w:left="3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AC3D00">
      <w:start w:val="1"/>
      <w:numFmt w:val="lowerLetter"/>
      <w:lvlText w:val="%5"/>
      <w:lvlJc w:val="left"/>
      <w:pPr>
        <w:ind w:left="5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8640F6">
      <w:start w:val="1"/>
      <w:numFmt w:val="lowerRoman"/>
      <w:lvlText w:val="%6"/>
      <w:lvlJc w:val="left"/>
      <w:pPr>
        <w:ind w:left="6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8C0AA8">
      <w:start w:val="1"/>
      <w:numFmt w:val="decimal"/>
      <w:lvlText w:val="%7"/>
      <w:lvlJc w:val="left"/>
      <w:pPr>
        <w:ind w:left="7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902862">
      <w:start w:val="1"/>
      <w:numFmt w:val="lowerLetter"/>
      <w:lvlText w:val="%8"/>
      <w:lvlJc w:val="left"/>
      <w:pPr>
        <w:ind w:left="7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D838E2">
      <w:start w:val="1"/>
      <w:numFmt w:val="lowerRoman"/>
      <w:lvlText w:val="%9"/>
      <w:lvlJc w:val="left"/>
      <w:pPr>
        <w:ind w:left="8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6A97493"/>
    <w:multiLevelType w:val="hybridMultilevel"/>
    <w:tmpl w:val="1214ECD6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>
    <w:nsid w:val="77A54B34"/>
    <w:multiLevelType w:val="hybridMultilevel"/>
    <w:tmpl w:val="FFFFFFFF"/>
    <w:lvl w:ilvl="0" w:tplc="9130742E">
      <w:start w:val="2"/>
      <w:numFmt w:val="ideographDigital"/>
      <w:lvlText w:val="%1、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B224D0">
      <w:start w:val="1"/>
      <w:numFmt w:val="decimal"/>
      <w:lvlText w:val="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DEF8A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C6D8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B037D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9CD21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1E792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3ABEE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DA695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AF42829"/>
    <w:multiLevelType w:val="hybridMultilevel"/>
    <w:tmpl w:val="21DC4704"/>
    <w:lvl w:ilvl="0" w:tplc="F154E3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/>
        <w:sz w:val="24"/>
      </w:rPr>
    </w:lvl>
    <w:lvl w:ilvl="1" w:tplc="BCD8337C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</w:lvl>
    <w:lvl w:ilvl="2" w:tplc="3634D2F6">
      <w:start w:val="1"/>
      <w:numFmt w:val="decimal"/>
      <w:lvlText w:val="%3."/>
      <w:lvlJc w:val="left"/>
      <w:pPr>
        <w:tabs>
          <w:tab w:val="num" w:pos="810"/>
        </w:tabs>
        <w:ind w:left="810" w:hanging="384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D83D63"/>
    <w:multiLevelType w:val="hybridMultilevel"/>
    <w:tmpl w:val="72F23A32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BEEF9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1">
    <w:nsid w:val="7E194A3A"/>
    <w:multiLevelType w:val="hybridMultilevel"/>
    <w:tmpl w:val="86588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9"/>
  </w:num>
  <w:num w:numId="3">
    <w:abstractNumId w:val="48"/>
  </w:num>
  <w:num w:numId="4">
    <w:abstractNumId w:val="37"/>
  </w:num>
  <w:num w:numId="5">
    <w:abstractNumId w:val="50"/>
  </w:num>
  <w:num w:numId="6">
    <w:abstractNumId w:val="53"/>
  </w:num>
  <w:num w:numId="7">
    <w:abstractNumId w:val="27"/>
  </w:num>
  <w:num w:numId="8">
    <w:abstractNumId w:val="28"/>
  </w:num>
  <w:num w:numId="9">
    <w:abstractNumId w:val="67"/>
  </w:num>
  <w:num w:numId="10">
    <w:abstractNumId w:val="32"/>
  </w:num>
  <w:num w:numId="11">
    <w:abstractNumId w:val="1"/>
  </w:num>
  <w:num w:numId="12">
    <w:abstractNumId w:val="45"/>
  </w:num>
  <w:num w:numId="13">
    <w:abstractNumId w:val="55"/>
  </w:num>
  <w:num w:numId="14">
    <w:abstractNumId w:val="31"/>
  </w:num>
  <w:num w:numId="15">
    <w:abstractNumId w:val="71"/>
  </w:num>
  <w:num w:numId="16">
    <w:abstractNumId w:val="69"/>
  </w:num>
  <w:num w:numId="17">
    <w:abstractNumId w:val="11"/>
  </w:num>
  <w:num w:numId="18">
    <w:abstractNumId w:val="26"/>
  </w:num>
  <w:num w:numId="19">
    <w:abstractNumId w:val="47"/>
  </w:num>
  <w:num w:numId="20">
    <w:abstractNumId w:val="33"/>
  </w:num>
  <w:num w:numId="21">
    <w:abstractNumId w:val="0"/>
  </w:num>
  <w:num w:numId="22">
    <w:abstractNumId w:val="50"/>
  </w:num>
  <w:num w:numId="23">
    <w:abstractNumId w:val="6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63"/>
  </w:num>
  <w:num w:numId="27">
    <w:abstractNumId w:val="9"/>
  </w:num>
  <w:num w:numId="28">
    <w:abstractNumId w:val="13"/>
  </w:num>
  <w:num w:numId="29">
    <w:abstractNumId w:val="24"/>
  </w:num>
  <w:num w:numId="30">
    <w:abstractNumId w:val="61"/>
  </w:num>
  <w:num w:numId="31">
    <w:abstractNumId w:val="4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</w:num>
  <w:num w:numId="34">
    <w:abstractNumId w:val="12"/>
  </w:num>
  <w:num w:numId="35">
    <w:abstractNumId w:val="52"/>
  </w:num>
  <w:num w:numId="36">
    <w:abstractNumId w:val="56"/>
  </w:num>
  <w:num w:numId="37">
    <w:abstractNumId w:val="38"/>
  </w:num>
  <w:num w:numId="38">
    <w:abstractNumId w:val="23"/>
  </w:num>
  <w:num w:numId="39">
    <w:abstractNumId w:val="2"/>
  </w:num>
  <w:num w:numId="40">
    <w:abstractNumId w:val="36"/>
  </w:num>
  <w:num w:numId="41">
    <w:abstractNumId w:val="29"/>
  </w:num>
  <w:num w:numId="42">
    <w:abstractNumId w:val="21"/>
  </w:num>
  <w:num w:numId="43">
    <w:abstractNumId w:val="35"/>
  </w:num>
  <w:num w:numId="44">
    <w:abstractNumId w:val="57"/>
  </w:num>
  <w:num w:numId="45">
    <w:abstractNumId w:val="8"/>
  </w:num>
  <w:num w:numId="46">
    <w:abstractNumId w:val="25"/>
  </w:num>
  <w:num w:numId="47">
    <w:abstractNumId w:val="6"/>
  </w:num>
  <w:num w:numId="48">
    <w:abstractNumId w:val="43"/>
  </w:num>
  <w:num w:numId="49">
    <w:abstractNumId w:val="44"/>
  </w:num>
  <w:num w:numId="50">
    <w:abstractNumId w:val="68"/>
  </w:num>
  <w:num w:numId="51">
    <w:abstractNumId w:val="7"/>
  </w:num>
  <w:num w:numId="52">
    <w:abstractNumId w:val="16"/>
  </w:num>
  <w:num w:numId="53">
    <w:abstractNumId w:val="4"/>
  </w:num>
  <w:num w:numId="54">
    <w:abstractNumId w:val="54"/>
  </w:num>
  <w:num w:numId="55">
    <w:abstractNumId w:val="62"/>
  </w:num>
  <w:num w:numId="56">
    <w:abstractNumId w:val="34"/>
  </w:num>
  <w:num w:numId="57">
    <w:abstractNumId w:val="3"/>
  </w:num>
  <w:num w:numId="58">
    <w:abstractNumId w:val="42"/>
  </w:num>
  <w:num w:numId="59">
    <w:abstractNumId w:val="64"/>
  </w:num>
  <w:num w:numId="60">
    <w:abstractNumId w:val="18"/>
  </w:num>
  <w:num w:numId="61">
    <w:abstractNumId w:val="30"/>
  </w:num>
  <w:num w:numId="62">
    <w:abstractNumId w:val="51"/>
  </w:num>
  <w:num w:numId="63">
    <w:abstractNumId w:val="41"/>
  </w:num>
  <w:num w:numId="64">
    <w:abstractNumId w:val="58"/>
  </w:num>
  <w:num w:numId="65">
    <w:abstractNumId w:val="22"/>
  </w:num>
  <w:num w:numId="66">
    <w:abstractNumId w:val="60"/>
  </w:num>
  <w:num w:numId="67">
    <w:abstractNumId w:val="17"/>
  </w:num>
  <w:num w:numId="68">
    <w:abstractNumId w:val="39"/>
  </w:num>
  <w:num w:numId="69">
    <w:abstractNumId w:val="15"/>
  </w:num>
  <w:num w:numId="70">
    <w:abstractNumId w:val="20"/>
  </w:num>
  <w:num w:numId="71">
    <w:abstractNumId w:val="19"/>
  </w:num>
  <w:num w:numId="72">
    <w:abstractNumId w:val="5"/>
  </w:num>
  <w:num w:numId="73">
    <w:abstractNumId w:val="46"/>
  </w:num>
  <w:num w:numId="74">
    <w:abstractNumId w:val="6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48ED"/>
    <w:rsid w:val="00005997"/>
    <w:rsid w:val="0001483D"/>
    <w:rsid w:val="00017B8F"/>
    <w:rsid w:val="00022917"/>
    <w:rsid w:val="00024852"/>
    <w:rsid w:val="00024D77"/>
    <w:rsid w:val="000259A4"/>
    <w:rsid w:val="000271A8"/>
    <w:rsid w:val="00027766"/>
    <w:rsid w:val="0003600A"/>
    <w:rsid w:val="00036A6B"/>
    <w:rsid w:val="0004148F"/>
    <w:rsid w:val="000447DA"/>
    <w:rsid w:val="0004581F"/>
    <w:rsid w:val="00046DAD"/>
    <w:rsid w:val="00050B5A"/>
    <w:rsid w:val="00056D46"/>
    <w:rsid w:val="000619F3"/>
    <w:rsid w:val="00063503"/>
    <w:rsid w:val="0006365D"/>
    <w:rsid w:val="000646AE"/>
    <w:rsid w:val="0006553A"/>
    <w:rsid w:val="0007605B"/>
    <w:rsid w:val="000761DA"/>
    <w:rsid w:val="00076EA0"/>
    <w:rsid w:val="00082A29"/>
    <w:rsid w:val="000842D9"/>
    <w:rsid w:val="00084879"/>
    <w:rsid w:val="00091262"/>
    <w:rsid w:val="000922B6"/>
    <w:rsid w:val="000955EB"/>
    <w:rsid w:val="000A19D5"/>
    <w:rsid w:val="000A20AC"/>
    <w:rsid w:val="000A316F"/>
    <w:rsid w:val="000A333E"/>
    <w:rsid w:val="000A748B"/>
    <w:rsid w:val="000B0D1A"/>
    <w:rsid w:val="000B5881"/>
    <w:rsid w:val="000B7281"/>
    <w:rsid w:val="000C4198"/>
    <w:rsid w:val="000C5708"/>
    <w:rsid w:val="000C5E41"/>
    <w:rsid w:val="000D1FC0"/>
    <w:rsid w:val="000D3089"/>
    <w:rsid w:val="000D3E95"/>
    <w:rsid w:val="000D70F5"/>
    <w:rsid w:val="000E2F60"/>
    <w:rsid w:val="000E34A1"/>
    <w:rsid w:val="000E3ED6"/>
    <w:rsid w:val="000E7ED6"/>
    <w:rsid w:val="000F02E3"/>
    <w:rsid w:val="000F2E3E"/>
    <w:rsid w:val="000F2FDB"/>
    <w:rsid w:val="000F6A78"/>
    <w:rsid w:val="0010023C"/>
    <w:rsid w:val="00100B6C"/>
    <w:rsid w:val="001026E9"/>
    <w:rsid w:val="00103619"/>
    <w:rsid w:val="00105766"/>
    <w:rsid w:val="00105C9D"/>
    <w:rsid w:val="001114CC"/>
    <w:rsid w:val="00116D6A"/>
    <w:rsid w:val="001262A3"/>
    <w:rsid w:val="001267D3"/>
    <w:rsid w:val="00126F09"/>
    <w:rsid w:val="00132BDB"/>
    <w:rsid w:val="00133BD9"/>
    <w:rsid w:val="00135184"/>
    <w:rsid w:val="001404D6"/>
    <w:rsid w:val="001414D5"/>
    <w:rsid w:val="00141CA8"/>
    <w:rsid w:val="00142CF6"/>
    <w:rsid w:val="00145CD9"/>
    <w:rsid w:val="001464EF"/>
    <w:rsid w:val="00146B41"/>
    <w:rsid w:val="0015000B"/>
    <w:rsid w:val="00152320"/>
    <w:rsid w:val="00152C7D"/>
    <w:rsid w:val="00153CE3"/>
    <w:rsid w:val="001554DA"/>
    <w:rsid w:val="00156A41"/>
    <w:rsid w:val="001610F6"/>
    <w:rsid w:val="00171CF3"/>
    <w:rsid w:val="0017288B"/>
    <w:rsid w:val="00173D7D"/>
    <w:rsid w:val="00174854"/>
    <w:rsid w:val="00177495"/>
    <w:rsid w:val="00177F5F"/>
    <w:rsid w:val="00182583"/>
    <w:rsid w:val="0018605C"/>
    <w:rsid w:val="0018645F"/>
    <w:rsid w:val="0018653E"/>
    <w:rsid w:val="00190764"/>
    <w:rsid w:val="001A3F74"/>
    <w:rsid w:val="001A4CEA"/>
    <w:rsid w:val="001A5DDB"/>
    <w:rsid w:val="001B1545"/>
    <w:rsid w:val="001B4059"/>
    <w:rsid w:val="001C0813"/>
    <w:rsid w:val="001C1145"/>
    <w:rsid w:val="001C2003"/>
    <w:rsid w:val="001C67F6"/>
    <w:rsid w:val="001C6F15"/>
    <w:rsid w:val="001D6601"/>
    <w:rsid w:val="001D70B0"/>
    <w:rsid w:val="001E0131"/>
    <w:rsid w:val="001E5EB4"/>
    <w:rsid w:val="001F013B"/>
    <w:rsid w:val="001F40C6"/>
    <w:rsid w:val="002016E3"/>
    <w:rsid w:val="00201743"/>
    <w:rsid w:val="00203268"/>
    <w:rsid w:val="00203496"/>
    <w:rsid w:val="00204C4D"/>
    <w:rsid w:val="00210291"/>
    <w:rsid w:val="00217445"/>
    <w:rsid w:val="002305C1"/>
    <w:rsid w:val="00232DB3"/>
    <w:rsid w:val="00233CC2"/>
    <w:rsid w:val="00235DD1"/>
    <w:rsid w:val="002368E3"/>
    <w:rsid w:val="002369A9"/>
    <w:rsid w:val="00246577"/>
    <w:rsid w:val="00253C4D"/>
    <w:rsid w:val="00254814"/>
    <w:rsid w:val="0025657A"/>
    <w:rsid w:val="00257AC0"/>
    <w:rsid w:val="00263474"/>
    <w:rsid w:val="00263904"/>
    <w:rsid w:val="002663D4"/>
    <w:rsid w:val="002668E4"/>
    <w:rsid w:val="00267B0C"/>
    <w:rsid w:val="0027061E"/>
    <w:rsid w:val="00270E50"/>
    <w:rsid w:val="00273941"/>
    <w:rsid w:val="002754BF"/>
    <w:rsid w:val="002808C6"/>
    <w:rsid w:val="0028427A"/>
    <w:rsid w:val="0028476D"/>
    <w:rsid w:val="00286175"/>
    <w:rsid w:val="002964C3"/>
    <w:rsid w:val="00297E03"/>
    <w:rsid w:val="002A01FB"/>
    <w:rsid w:val="002A21B5"/>
    <w:rsid w:val="002A7CDE"/>
    <w:rsid w:val="002B004C"/>
    <w:rsid w:val="002B0B90"/>
    <w:rsid w:val="002B2073"/>
    <w:rsid w:val="002D0C34"/>
    <w:rsid w:val="002D120E"/>
    <w:rsid w:val="002D1E65"/>
    <w:rsid w:val="002D42F0"/>
    <w:rsid w:val="002D4C23"/>
    <w:rsid w:val="002E3065"/>
    <w:rsid w:val="002F3661"/>
    <w:rsid w:val="002F3900"/>
    <w:rsid w:val="002F3B23"/>
    <w:rsid w:val="002F50A9"/>
    <w:rsid w:val="002F6B98"/>
    <w:rsid w:val="003144B8"/>
    <w:rsid w:val="00316184"/>
    <w:rsid w:val="00316BF8"/>
    <w:rsid w:val="003208A7"/>
    <w:rsid w:val="00321D42"/>
    <w:rsid w:val="00321E04"/>
    <w:rsid w:val="00324E5D"/>
    <w:rsid w:val="003256D3"/>
    <w:rsid w:val="00326A2A"/>
    <w:rsid w:val="00332631"/>
    <w:rsid w:val="00343F7F"/>
    <w:rsid w:val="0034515B"/>
    <w:rsid w:val="00346587"/>
    <w:rsid w:val="00347067"/>
    <w:rsid w:val="0035790A"/>
    <w:rsid w:val="00363B26"/>
    <w:rsid w:val="003649D4"/>
    <w:rsid w:val="00365615"/>
    <w:rsid w:val="00367284"/>
    <w:rsid w:val="00370931"/>
    <w:rsid w:val="00372061"/>
    <w:rsid w:val="003746D9"/>
    <w:rsid w:val="00374B0C"/>
    <w:rsid w:val="0037710C"/>
    <w:rsid w:val="003821FE"/>
    <w:rsid w:val="00382FAB"/>
    <w:rsid w:val="0038354B"/>
    <w:rsid w:val="00383DE7"/>
    <w:rsid w:val="003844FB"/>
    <w:rsid w:val="003856B1"/>
    <w:rsid w:val="00385CE2"/>
    <w:rsid w:val="00394E33"/>
    <w:rsid w:val="00395AB5"/>
    <w:rsid w:val="00395AF0"/>
    <w:rsid w:val="00396642"/>
    <w:rsid w:val="003976C4"/>
    <w:rsid w:val="003A03B3"/>
    <w:rsid w:val="003A1F26"/>
    <w:rsid w:val="003A5E57"/>
    <w:rsid w:val="003A6153"/>
    <w:rsid w:val="003A77AD"/>
    <w:rsid w:val="003B38E2"/>
    <w:rsid w:val="003B7A5B"/>
    <w:rsid w:val="003C235E"/>
    <w:rsid w:val="003C30F1"/>
    <w:rsid w:val="003D339F"/>
    <w:rsid w:val="003D66DD"/>
    <w:rsid w:val="003D7249"/>
    <w:rsid w:val="003E1AFD"/>
    <w:rsid w:val="003E69AA"/>
    <w:rsid w:val="003F0B5F"/>
    <w:rsid w:val="003F290A"/>
    <w:rsid w:val="003F407E"/>
    <w:rsid w:val="003F4225"/>
    <w:rsid w:val="003F77C8"/>
    <w:rsid w:val="00400D19"/>
    <w:rsid w:val="0040358A"/>
    <w:rsid w:val="00405B64"/>
    <w:rsid w:val="004145F6"/>
    <w:rsid w:val="004216D4"/>
    <w:rsid w:val="0042177A"/>
    <w:rsid w:val="00423A87"/>
    <w:rsid w:val="00426639"/>
    <w:rsid w:val="00435B13"/>
    <w:rsid w:val="004378F7"/>
    <w:rsid w:val="0044217B"/>
    <w:rsid w:val="00444B6C"/>
    <w:rsid w:val="00444EDB"/>
    <w:rsid w:val="00445EE7"/>
    <w:rsid w:val="004465AB"/>
    <w:rsid w:val="004468E2"/>
    <w:rsid w:val="00447B9B"/>
    <w:rsid w:val="00450588"/>
    <w:rsid w:val="004521F1"/>
    <w:rsid w:val="004532E7"/>
    <w:rsid w:val="00453422"/>
    <w:rsid w:val="00454610"/>
    <w:rsid w:val="00454EAA"/>
    <w:rsid w:val="00460B91"/>
    <w:rsid w:val="004643F8"/>
    <w:rsid w:val="00467428"/>
    <w:rsid w:val="00472916"/>
    <w:rsid w:val="00472A37"/>
    <w:rsid w:val="004778B1"/>
    <w:rsid w:val="00481D23"/>
    <w:rsid w:val="00481F7E"/>
    <w:rsid w:val="00493A96"/>
    <w:rsid w:val="0049414E"/>
    <w:rsid w:val="00496CC4"/>
    <w:rsid w:val="004A32D6"/>
    <w:rsid w:val="004A4341"/>
    <w:rsid w:val="004A48A3"/>
    <w:rsid w:val="004B073A"/>
    <w:rsid w:val="004B1258"/>
    <w:rsid w:val="004B1F72"/>
    <w:rsid w:val="004B504C"/>
    <w:rsid w:val="004B515E"/>
    <w:rsid w:val="004B536B"/>
    <w:rsid w:val="004B56BD"/>
    <w:rsid w:val="004B75DC"/>
    <w:rsid w:val="004B7D6B"/>
    <w:rsid w:val="004C72B0"/>
    <w:rsid w:val="004D1117"/>
    <w:rsid w:val="004D48CF"/>
    <w:rsid w:val="004E2EAC"/>
    <w:rsid w:val="004E4963"/>
    <w:rsid w:val="004E585F"/>
    <w:rsid w:val="004F2174"/>
    <w:rsid w:val="004F3A75"/>
    <w:rsid w:val="004F4499"/>
    <w:rsid w:val="004F5DFD"/>
    <w:rsid w:val="00505E48"/>
    <w:rsid w:val="00506460"/>
    <w:rsid w:val="00506B2A"/>
    <w:rsid w:val="00506FC2"/>
    <w:rsid w:val="0050745E"/>
    <w:rsid w:val="00516FC8"/>
    <w:rsid w:val="00522FE6"/>
    <w:rsid w:val="005257B9"/>
    <w:rsid w:val="00526B77"/>
    <w:rsid w:val="00526F4C"/>
    <w:rsid w:val="005317B4"/>
    <w:rsid w:val="00531C72"/>
    <w:rsid w:val="00532DB9"/>
    <w:rsid w:val="0053400C"/>
    <w:rsid w:val="00534FD6"/>
    <w:rsid w:val="005357C5"/>
    <w:rsid w:val="00540149"/>
    <w:rsid w:val="005425FE"/>
    <w:rsid w:val="005451DC"/>
    <w:rsid w:val="00550D2A"/>
    <w:rsid w:val="00551D33"/>
    <w:rsid w:val="00551ECD"/>
    <w:rsid w:val="0055254F"/>
    <w:rsid w:val="0055396D"/>
    <w:rsid w:val="005549BA"/>
    <w:rsid w:val="00555936"/>
    <w:rsid w:val="005604FF"/>
    <w:rsid w:val="00561626"/>
    <w:rsid w:val="005619E0"/>
    <w:rsid w:val="00563089"/>
    <w:rsid w:val="00571B0E"/>
    <w:rsid w:val="00575F43"/>
    <w:rsid w:val="00576065"/>
    <w:rsid w:val="00582E8A"/>
    <w:rsid w:val="005838F8"/>
    <w:rsid w:val="00590DA7"/>
    <w:rsid w:val="00592C5F"/>
    <w:rsid w:val="00594192"/>
    <w:rsid w:val="00597DC2"/>
    <w:rsid w:val="005A3BB7"/>
    <w:rsid w:val="005A4500"/>
    <w:rsid w:val="005A467A"/>
    <w:rsid w:val="005A4A29"/>
    <w:rsid w:val="005B097A"/>
    <w:rsid w:val="005B0E59"/>
    <w:rsid w:val="005B28DD"/>
    <w:rsid w:val="005B4D24"/>
    <w:rsid w:val="005B52E8"/>
    <w:rsid w:val="005C34DA"/>
    <w:rsid w:val="005D15CE"/>
    <w:rsid w:val="005D5DB6"/>
    <w:rsid w:val="005D7F1F"/>
    <w:rsid w:val="005E01F3"/>
    <w:rsid w:val="005E1B09"/>
    <w:rsid w:val="005E214C"/>
    <w:rsid w:val="005F038B"/>
    <w:rsid w:val="005F5197"/>
    <w:rsid w:val="005F7B74"/>
    <w:rsid w:val="00611355"/>
    <w:rsid w:val="0061159C"/>
    <w:rsid w:val="006177F5"/>
    <w:rsid w:val="00621984"/>
    <w:rsid w:val="00627189"/>
    <w:rsid w:val="00630885"/>
    <w:rsid w:val="0063113B"/>
    <w:rsid w:val="006335F1"/>
    <w:rsid w:val="006345D0"/>
    <w:rsid w:val="00637EA5"/>
    <w:rsid w:val="006422D0"/>
    <w:rsid w:val="006423AF"/>
    <w:rsid w:val="00645332"/>
    <w:rsid w:val="00650807"/>
    <w:rsid w:val="00651601"/>
    <w:rsid w:val="0065437D"/>
    <w:rsid w:val="006550DC"/>
    <w:rsid w:val="006562F4"/>
    <w:rsid w:val="0066085C"/>
    <w:rsid w:val="00660EB0"/>
    <w:rsid w:val="006613F6"/>
    <w:rsid w:val="00663981"/>
    <w:rsid w:val="00675DAF"/>
    <w:rsid w:val="00676FFB"/>
    <w:rsid w:val="00681239"/>
    <w:rsid w:val="006815C2"/>
    <w:rsid w:val="00681F4D"/>
    <w:rsid w:val="00682872"/>
    <w:rsid w:val="0068591E"/>
    <w:rsid w:val="006863D4"/>
    <w:rsid w:val="0068798E"/>
    <w:rsid w:val="00694AEA"/>
    <w:rsid w:val="0069654D"/>
    <w:rsid w:val="00697D52"/>
    <w:rsid w:val="006A031F"/>
    <w:rsid w:val="006A1BEC"/>
    <w:rsid w:val="006A46C7"/>
    <w:rsid w:val="006B4217"/>
    <w:rsid w:val="006B4590"/>
    <w:rsid w:val="006B4A6E"/>
    <w:rsid w:val="006C017B"/>
    <w:rsid w:val="006C03BA"/>
    <w:rsid w:val="006C06D9"/>
    <w:rsid w:val="006C2A29"/>
    <w:rsid w:val="006C3548"/>
    <w:rsid w:val="006D20B9"/>
    <w:rsid w:val="006D35EE"/>
    <w:rsid w:val="006D3F16"/>
    <w:rsid w:val="006D7A1D"/>
    <w:rsid w:val="006F171E"/>
    <w:rsid w:val="006F1911"/>
    <w:rsid w:val="006F19AA"/>
    <w:rsid w:val="006F666E"/>
    <w:rsid w:val="006F754C"/>
    <w:rsid w:val="00700089"/>
    <w:rsid w:val="00705106"/>
    <w:rsid w:val="007115CD"/>
    <w:rsid w:val="00711CFF"/>
    <w:rsid w:val="007156A1"/>
    <w:rsid w:val="00716A58"/>
    <w:rsid w:val="00716EAB"/>
    <w:rsid w:val="007211F1"/>
    <w:rsid w:val="007219AA"/>
    <w:rsid w:val="007219E7"/>
    <w:rsid w:val="007272DD"/>
    <w:rsid w:val="0073083B"/>
    <w:rsid w:val="00742511"/>
    <w:rsid w:val="00742948"/>
    <w:rsid w:val="007448ED"/>
    <w:rsid w:val="00745039"/>
    <w:rsid w:val="00745CC0"/>
    <w:rsid w:val="00747D41"/>
    <w:rsid w:val="007522AB"/>
    <w:rsid w:val="007537B9"/>
    <w:rsid w:val="0075657D"/>
    <w:rsid w:val="00756B91"/>
    <w:rsid w:val="00762074"/>
    <w:rsid w:val="00763C63"/>
    <w:rsid w:val="0076628C"/>
    <w:rsid w:val="007744F8"/>
    <w:rsid w:val="00775069"/>
    <w:rsid w:val="0077528A"/>
    <w:rsid w:val="00775FCC"/>
    <w:rsid w:val="00777AAD"/>
    <w:rsid w:val="0078038A"/>
    <w:rsid w:val="0078064A"/>
    <w:rsid w:val="00781EE8"/>
    <w:rsid w:val="00790CD9"/>
    <w:rsid w:val="00795910"/>
    <w:rsid w:val="00796F64"/>
    <w:rsid w:val="007A1034"/>
    <w:rsid w:val="007A7A5B"/>
    <w:rsid w:val="007B15E9"/>
    <w:rsid w:val="007B2AFE"/>
    <w:rsid w:val="007B5B29"/>
    <w:rsid w:val="007B745F"/>
    <w:rsid w:val="007C1DEA"/>
    <w:rsid w:val="007C25E1"/>
    <w:rsid w:val="007C5CBA"/>
    <w:rsid w:val="007C7212"/>
    <w:rsid w:val="007C7D6B"/>
    <w:rsid w:val="007D0A02"/>
    <w:rsid w:val="007D533D"/>
    <w:rsid w:val="007E3125"/>
    <w:rsid w:val="007E6D25"/>
    <w:rsid w:val="007F2F9D"/>
    <w:rsid w:val="007F3013"/>
    <w:rsid w:val="007F5D84"/>
    <w:rsid w:val="007F5FA7"/>
    <w:rsid w:val="007F659F"/>
    <w:rsid w:val="00800BAB"/>
    <w:rsid w:val="008025BD"/>
    <w:rsid w:val="00802BA1"/>
    <w:rsid w:val="00807985"/>
    <w:rsid w:val="00811F57"/>
    <w:rsid w:val="00815A45"/>
    <w:rsid w:val="008210D4"/>
    <w:rsid w:val="00821B47"/>
    <w:rsid w:val="0082705F"/>
    <w:rsid w:val="00827E60"/>
    <w:rsid w:val="00830A9B"/>
    <w:rsid w:val="008315A4"/>
    <w:rsid w:val="008359A8"/>
    <w:rsid w:val="00836F18"/>
    <w:rsid w:val="00837687"/>
    <w:rsid w:val="008414EC"/>
    <w:rsid w:val="00842C75"/>
    <w:rsid w:val="008469F8"/>
    <w:rsid w:val="008501C4"/>
    <w:rsid w:val="0085161B"/>
    <w:rsid w:val="00851B04"/>
    <w:rsid w:val="00852FD1"/>
    <w:rsid w:val="00860874"/>
    <w:rsid w:val="00862CD0"/>
    <w:rsid w:val="00862D3E"/>
    <w:rsid w:val="00864CB3"/>
    <w:rsid w:val="00866560"/>
    <w:rsid w:val="00866B0C"/>
    <w:rsid w:val="00870566"/>
    <w:rsid w:val="00870DC6"/>
    <w:rsid w:val="0087184A"/>
    <w:rsid w:val="00874611"/>
    <w:rsid w:val="00875D86"/>
    <w:rsid w:val="008765D1"/>
    <w:rsid w:val="00876AB6"/>
    <w:rsid w:val="00877C4D"/>
    <w:rsid w:val="00877FC8"/>
    <w:rsid w:val="00885D68"/>
    <w:rsid w:val="0089158E"/>
    <w:rsid w:val="00892334"/>
    <w:rsid w:val="00892415"/>
    <w:rsid w:val="008934BD"/>
    <w:rsid w:val="00894405"/>
    <w:rsid w:val="00895C32"/>
    <w:rsid w:val="00896A98"/>
    <w:rsid w:val="008A0479"/>
    <w:rsid w:val="008A1FC0"/>
    <w:rsid w:val="008A58CF"/>
    <w:rsid w:val="008B0330"/>
    <w:rsid w:val="008C0DCF"/>
    <w:rsid w:val="008C1386"/>
    <w:rsid w:val="008C225C"/>
    <w:rsid w:val="008C3294"/>
    <w:rsid w:val="008C39F5"/>
    <w:rsid w:val="008D2BC4"/>
    <w:rsid w:val="008D30A1"/>
    <w:rsid w:val="008E1703"/>
    <w:rsid w:val="008E3598"/>
    <w:rsid w:val="008E7374"/>
    <w:rsid w:val="008F0D06"/>
    <w:rsid w:val="008F1342"/>
    <w:rsid w:val="008F2D83"/>
    <w:rsid w:val="008F668A"/>
    <w:rsid w:val="009019F0"/>
    <w:rsid w:val="00904E7C"/>
    <w:rsid w:val="009057A3"/>
    <w:rsid w:val="009101EA"/>
    <w:rsid w:val="009119B1"/>
    <w:rsid w:val="00914601"/>
    <w:rsid w:val="009206DB"/>
    <w:rsid w:val="009212BB"/>
    <w:rsid w:val="009218B2"/>
    <w:rsid w:val="00921A9C"/>
    <w:rsid w:val="00922008"/>
    <w:rsid w:val="009241C4"/>
    <w:rsid w:val="00924CC6"/>
    <w:rsid w:val="0092511D"/>
    <w:rsid w:val="00927607"/>
    <w:rsid w:val="00934752"/>
    <w:rsid w:val="009348A4"/>
    <w:rsid w:val="0093610C"/>
    <w:rsid w:val="0094112D"/>
    <w:rsid w:val="00941150"/>
    <w:rsid w:val="00941B19"/>
    <w:rsid w:val="009429AC"/>
    <w:rsid w:val="00950B31"/>
    <w:rsid w:val="009511C6"/>
    <w:rsid w:val="00952ED2"/>
    <w:rsid w:val="0096324D"/>
    <w:rsid w:val="00970130"/>
    <w:rsid w:val="00972555"/>
    <w:rsid w:val="009745FC"/>
    <w:rsid w:val="00983E5B"/>
    <w:rsid w:val="0098471E"/>
    <w:rsid w:val="0098547C"/>
    <w:rsid w:val="00990333"/>
    <w:rsid w:val="00991A3D"/>
    <w:rsid w:val="00993EBB"/>
    <w:rsid w:val="009A35F9"/>
    <w:rsid w:val="009B0D0E"/>
    <w:rsid w:val="009B1370"/>
    <w:rsid w:val="009B1F3D"/>
    <w:rsid w:val="009B41F9"/>
    <w:rsid w:val="009B6003"/>
    <w:rsid w:val="009B70F1"/>
    <w:rsid w:val="009C1B01"/>
    <w:rsid w:val="009C1EB8"/>
    <w:rsid w:val="009C4F29"/>
    <w:rsid w:val="009D07E2"/>
    <w:rsid w:val="009D1D50"/>
    <w:rsid w:val="009D247E"/>
    <w:rsid w:val="009E1F6B"/>
    <w:rsid w:val="009E257B"/>
    <w:rsid w:val="009E469D"/>
    <w:rsid w:val="009E4B8B"/>
    <w:rsid w:val="009E5B38"/>
    <w:rsid w:val="009E5FCE"/>
    <w:rsid w:val="009E61EF"/>
    <w:rsid w:val="009E7604"/>
    <w:rsid w:val="009F1063"/>
    <w:rsid w:val="009F2133"/>
    <w:rsid w:val="00A007EA"/>
    <w:rsid w:val="00A00960"/>
    <w:rsid w:val="00A032FA"/>
    <w:rsid w:val="00A03C79"/>
    <w:rsid w:val="00A05613"/>
    <w:rsid w:val="00A06888"/>
    <w:rsid w:val="00A069F7"/>
    <w:rsid w:val="00A10E27"/>
    <w:rsid w:val="00A11A66"/>
    <w:rsid w:val="00A21157"/>
    <w:rsid w:val="00A21CEB"/>
    <w:rsid w:val="00A2320A"/>
    <w:rsid w:val="00A239E0"/>
    <w:rsid w:val="00A275F5"/>
    <w:rsid w:val="00A30858"/>
    <w:rsid w:val="00A41599"/>
    <w:rsid w:val="00A4173F"/>
    <w:rsid w:val="00A432F4"/>
    <w:rsid w:val="00A46208"/>
    <w:rsid w:val="00A51E84"/>
    <w:rsid w:val="00A525D3"/>
    <w:rsid w:val="00A56554"/>
    <w:rsid w:val="00A619CA"/>
    <w:rsid w:val="00A70056"/>
    <w:rsid w:val="00A73955"/>
    <w:rsid w:val="00A74380"/>
    <w:rsid w:val="00A76E64"/>
    <w:rsid w:val="00A85470"/>
    <w:rsid w:val="00A86D93"/>
    <w:rsid w:val="00A902ED"/>
    <w:rsid w:val="00A95F11"/>
    <w:rsid w:val="00AA01EA"/>
    <w:rsid w:val="00AA31B6"/>
    <w:rsid w:val="00AA59CC"/>
    <w:rsid w:val="00AA75DC"/>
    <w:rsid w:val="00AB13F3"/>
    <w:rsid w:val="00AB5408"/>
    <w:rsid w:val="00AB5DB3"/>
    <w:rsid w:val="00AC1844"/>
    <w:rsid w:val="00AC1935"/>
    <w:rsid w:val="00AC1FEA"/>
    <w:rsid w:val="00AC3CDA"/>
    <w:rsid w:val="00AC7F30"/>
    <w:rsid w:val="00AD1454"/>
    <w:rsid w:val="00AD1B36"/>
    <w:rsid w:val="00AD3472"/>
    <w:rsid w:val="00AD5860"/>
    <w:rsid w:val="00AD6474"/>
    <w:rsid w:val="00AE0BA4"/>
    <w:rsid w:val="00AE133F"/>
    <w:rsid w:val="00AE2301"/>
    <w:rsid w:val="00AE46A7"/>
    <w:rsid w:val="00AE61A8"/>
    <w:rsid w:val="00AF3BD6"/>
    <w:rsid w:val="00AF4331"/>
    <w:rsid w:val="00AF7567"/>
    <w:rsid w:val="00AF7BE9"/>
    <w:rsid w:val="00B006FA"/>
    <w:rsid w:val="00B0080A"/>
    <w:rsid w:val="00B047EF"/>
    <w:rsid w:val="00B04D97"/>
    <w:rsid w:val="00B0522D"/>
    <w:rsid w:val="00B058D2"/>
    <w:rsid w:val="00B10916"/>
    <w:rsid w:val="00B1358B"/>
    <w:rsid w:val="00B15BD5"/>
    <w:rsid w:val="00B20371"/>
    <w:rsid w:val="00B21200"/>
    <w:rsid w:val="00B23B4A"/>
    <w:rsid w:val="00B27FFC"/>
    <w:rsid w:val="00B34C4A"/>
    <w:rsid w:val="00B378DF"/>
    <w:rsid w:val="00B37A5F"/>
    <w:rsid w:val="00B448C2"/>
    <w:rsid w:val="00B466F5"/>
    <w:rsid w:val="00B52D21"/>
    <w:rsid w:val="00B537F7"/>
    <w:rsid w:val="00B56379"/>
    <w:rsid w:val="00B602D3"/>
    <w:rsid w:val="00B603D8"/>
    <w:rsid w:val="00B723DB"/>
    <w:rsid w:val="00B8446A"/>
    <w:rsid w:val="00B86548"/>
    <w:rsid w:val="00B908CD"/>
    <w:rsid w:val="00B93702"/>
    <w:rsid w:val="00BA3935"/>
    <w:rsid w:val="00BA4BCC"/>
    <w:rsid w:val="00BB037F"/>
    <w:rsid w:val="00BB046D"/>
    <w:rsid w:val="00BB497D"/>
    <w:rsid w:val="00BB5B18"/>
    <w:rsid w:val="00BC41CE"/>
    <w:rsid w:val="00BC43B8"/>
    <w:rsid w:val="00BC45C9"/>
    <w:rsid w:val="00BC5D8A"/>
    <w:rsid w:val="00BC7A69"/>
    <w:rsid w:val="00BD7440"/>
    <w:rsid w:val="00BE4E82"/>
    <w:rsid w:val="00BF19D0"/>
    <w:rsid w:val="00BF4132"/>
    <w:rsid w:val="00BF6ABB"/>
    <w:rsid w:val="00BF6CDC"/>
    <w:rsid w:val="00C000DE"/>
    <w:rsid w:val="00C00772"/>
    <w:rsid w:val="00C00B00"/>
    <w:rsid w:val="00C01132"/>
    <w:rsid w:val="00C07A39"/>
    <w:rsid w:val="00C12975"/>
    <w:rsid w:val="00C1363C"/>
    <w:rsid w:val="00C14B9D"/>
    <w:rsid w:val="00C14DA0"/>
    <w:rsid w:val="00C16BE5"/>
    <w:rsid w:val="00C22B61"/>
    <w:rsid w:val="00C25C74"/>
    <w:rsid w:val="00C26469"/>
    <w:rsid w:val="00C300B6"/>
    <w:rsid w:val="00C303F8"/>
    <w:rsid w:val="00C350C6"/>
    <w:rsid w:val="00C37243"/>
    <w:rsid w:val="00C4343E"/>
    <w:rsid w:val="00C4390D"/>
    <w:rsid w:val="00C441C2"/>
    <w:rsid w:val="00C44E45"/>
    <w:rsid w:val="00C45D01"/>
    <w:rsid w:val="00C51D40"/>
    <w:rsid w:val="00C521BF"/>
    <w:rsid w:val="00C526D0"/>
    <w:rsid w:val="00C540CC"/>
    <w:rsid w:val="00C54D1E"/>
    <w:rsid w:val="00C551DB"/>
    <w:rsid w:val="00C56C18"/>
    <w:rsid w:val="00C6106F"/>
    <w:rsid w:val="00C61E59"/>
    <w:rsid w:val="00C62B31"/>
    <w:rsid w:val="00C63EE1"/>
    <w:rsid w:val="00C64D85"/>
    <w:rsid w:val="00C71847"/>
    <w:rsid w:val="00C71E53"/>
    <w:rsid w:val="00C7534E"/>
    <w:rsid w:val="00C75FA1"/>
    <w:rsid w:val="00C825FF"/>
    <w:rsid w:val="00C82A46"/>
    <w:rsid w:val="00C82A55"/>
    <w:rsid w:val="00C915A9"/>
    <w:rsid w:val="00C948B3"/>
    <w:rsid w:val="00C9547F"/>
    <w:rsid w:val="00CA1AAB"/>
    <w:rsid w:val="00CA21C3"/>
    <w:rsid w:val="00CA292F"/>
    <w:rsid w:val="00CA5F49"/>
    <w:rsid w:val="00CA6126"/>
    <w:rsid w:val="00CA67B5"/>
    <w:rsid w:val="00CB3582"/>
    <w:rsid w:val="00CB5782"/>
    <w:rsid w:val="00CB75A2"/>
    <w:rsid w:val="00CC4774"/>
    <w:rsid w:val="00CC5863"/>
    <w:rsid w:val="00CC7B51"/>
    <w:rsid w:val="00CD33A3"/>
    <w:rsid w:val="00CD7C19"/>
    <w:rsid w:val="00CE2B6F"/>
    <w:rsid w:val="00CE389E"/>
    <w:rsid w:val="00CF7721"/>
    <w:rsid w:val="00D0130F"/>
    <w:rsid w:val="00D03C6C"/>
    <w:rsid w:val="00D05FE0"/>
    <w:rsid w:val="00D1069B"/>
    <w:rsid w:val="00D10A7E"/>
    <w:rsid w:val="00D1178D"/>
    <w:rsid w:val="00D2787D"/>
    <w:rsid w:val="00D3497F"/>
    <w:rsid w:val="00D43099"/>
    <w:rsid w:val="00D476A7"/>
    <w:rsid w:val="00D50502"/>
    <w:rsid w:val="00D506AA"/>
    <w:rsid w:val="00D52A18"/>
    <w:rsid w:val="00D530DB"/>
    <w:rsid w:val="00D54529"/>
    <w:rsid w:val="00D54DE9"/>
    <w:rsid w:val="00D60AE4"/>
    <w:rsid w:val="00D63C80"/>
    <w:rsid w:val="00D74896"/>
    <w:rsid w:val="00D7595C"/>
    <w:rsid w:val="00D76E64"/>
    <w:rsid w:val="00D806E3"/>
    <w:rsid w:val="00D806ED"/>
    <w:rsid w:val="00D80BCE"/>
    <w:rsid w:val="00D83323"/>
    <w:rsid w:val="00D92E1C"/>
    <w:rsid w:val="00D93158"/>
    <w:rsid w:val="00D9646A"/>
    <w:rsid w:val="00DA206C"/>
    <w:rsid w:val="00DA2F2C"/>
    <w:rsid w:val="00DA4736"/>
    <w:rsid w:val="00DA4D85"/>
    <w:rsid w:val="00DA5356"/>
    <w:rsid w:val="00DA75CB"/>
    <w:rsid w:val="00DB1361"/>
    <w:rsid w:val="00DB13C7"/>
    <w:rsid w:val="00DB4775"/>
    <w:rsid w:val="00DB597E"/>
    <w:rsid w:val="00DC2BB8"/>
    <w:rsid w:val="00DC44AB"/>
    <w:rsid w:val="00DC73E0"/>
    <w:rsid w:val="00DD1E3E"/>
    <w:rsid w:val="00DD759B"/>
    <w:rsid w:val="00DE08BD"/>
    <w:rsid w:val="00DE0D8A"/>
    <w:rsid w:val="00DE128F"/>
    <w:rsid w:val="00DE5711"/>
    <w:rsid w:val="00DE6C1A"/>
    <w:rsid w:val="00DE7633"/>
    <w:rsid w:val="00DF114D"/>
    <w:rsid w:val="00DF3901"/>
    <w:rsid w:val="00DF398F"/>
    <w:rsid w:val="00E007EB"/>
    <w:rsid w:val="00E011A2"/>
    <w:rsid w:val="00E01237"/>
    <w:rsid w:val="00E07427"/>
    <w:rsid w:val="00E1029A"/>
    <w:rsid w:val="00E2241D"/>
    <w:rsid w:val="00E247A2"/>
    <w:rsid w:val="00E26F36"/>
    <w:rsid w:val="00E26F47"/>
    <w:rsid w:val="00E3167C"/>
    <w:rsid w:val="00E33B40"/>
    <w:rsid w:val="00E43E20"/>
    <w:rsid w:val="00E478FD"/>
    <w:rsid w:val="00E5234F"/>
    <w:rsid w:val="00E54161"/>
    <w:rsid w:val="00E60B9A"/>
    <w:rsid w:val="00E61550"/>
    <w:rsid w:val="00E61A1F"/>
    <w:rsid w:val="00E62FD5"/>
    <w:rsid w:val="00E7324B"/>
    <w:rsid w:val="00E7605B"/>
    <w:rsid w:val="00E760C3"/>
    <w:rsid w:val="00E764CE"/>
    <w:rsid w:val="00E76862"/>
    <w:rsid w:val="00E83952"/>
    <w:rsid w:val="00E84612"/>
    <w:rsid w:val="00E900C0"/>
    <w:rsid w:val="00E946DD"/>
    <w:rsid w:val="00E95195"/>
    <w:rsid w:val="00EA0B45"/>
    <w:rsid w:val="00EA3128"/>
    <w:rsid w:val="00EA3AFB"/>
    <w:rsid w:val="00EA3EA0"/>
    <w:rsid w:val="00EB16DF"/>
    <w:rsid w:val="00EB1B97"/>
    <w:rsid w:val="00EB3AC5"/>
    <w:rsid w:val="00EC2801"/>
    <w:rsid w:val="00EC3364"/>
    <w:rsid w:val="00EC4334"/>
    <w:rsid w:val="00EC4462"/>
    <w:rsid w:val="00EC477E"/>
    <w:rsid w:val="00EC68CF"/>
    <w:rsid w:val="00EC6AB9"/>
    <w:rsid w:val="00ED04E6"/>
    <w:rsid w:val="00ED08D5"/>
    <w:rsid w:val="00ED3A0C"/>
    <w:rsid w:val="00ED3A96"/>
    <w:rsid w:val="00ED66B4"/>
    <w:rsid w:val="00EE08D0"/>
    <w:rsid w:val="00EE1DF1"/>
    <w:rsid w:val="00EE2A7D"/>
    <w:rsid w:val="00EF11F7"/>
    <w:rsid w:val="00EF1B6E"/>
    <w:rsid w:val="00EF2A6E"/>
    <w:rsid w:val="00EF2CAD"/>
    <w:rsid w:val="00EF3FAA"/>
    <w:rsid w:val="00EF466D"/>
    <w:rsid w:val="00EF7249"/>
    <w:rsid w:val="00EF791B"/>
    <w:rsid w:val="00F00452"/>
    <w:rsid w:val="00F019D7"/>
    <w:rsid w:val="00F0772D"/>
    <w:rsid w:val="00F116F9"/>
    <w:rsid w:val="00F17DAE"/>
    <w:rsid w:val="00F20347"/>
    <w:rsid w:val="00F20864"/>
    <w:rsid w:val="00F2750E"/>
    <w:rsid w:val="00F31C0A"/>
    <w:rsid w:val="00F321E3"/>
    <w:rsid w:val="00F33893"/>
    <w:rsid w:val="00F36777"/>
    <w:rsid w:val="00F412AB"/>
    <w:rsid w:val="00F42CBC"/>
    <w:rsid w:val="00F4347A"/>
    <w:rsid w:val="00F445DE"/>
    <w:rsid w:val="00F45284"/>
    <w:rsid w:val="00F51B32"/>
    <w:rsid w:val="00F52737"/>
    <w:rsid w:val="00F52B32"/>
    <w:rsid w:val="00F52F4B"/>
    <w:rsid w:val="00F533D9"/>
    <w:rsid w:val="00F55A41"/>
    <w:rsid w:val="00F60CA6"/>
    <w:rsid w:val="00F61034"/>
    <w:rsid w:val="00F6427F"/>
    <w:rsid w:val="00F6618A"/>
    <w:rsid w:val="00F70BF1"/>
    <w:rsid w:val="00F72E68"/>
    <w:rsid w:val="00F73521"/>
    <w:rsid w:val="00F73C01"/>
    <w:rsid w:val="00F75972"/>
    <w:rsid w:val="00F850CB"/>
    <w:rsid w:val="00F85A3F"/>
    <w:rsid w:val="00F86F9B"/>
    <w:rsid w:val="00F9049D"/>
    <w:rsid w:val="00F90B31"/>
    <w:rsid w:val="00F93261"/>
    <w:rsid w:val="00F9767C"/>
    <w:rsid w:val="00FA1C7A"/>
    <w:rsid w:val="00FA2F77"/>
    <w:rsid w:val="00FA3072"/>
    <w:rsid w:val="00FA613F"/>
    <w:rsid w:val="00FA6B0E"/>
    <w:rsid w:val="00FA7FC0"/>
    <w:rsid w:val="00FB032D"/>
    <w:rsid w:val="00FB173C"/>
    <w:rsid w:val="00FB3970"/>
    <w:rsid w:val="00FB41FC"/>
    <w:rsid w:val="00FB4B3C"/>
    <w:rsid w:val="00FB51B1"/>
    <w:rsid w:val="00FC012B"/>
    <w:rsid w:val="00FC0EF6"/>
    <w:rsid w:val="00FC2260"/>
    <w:rsid w:val="00FC2BF2"/>
    <w:rsid w:val="00FC361F"/>
    <w:rsid w:val="00FC7FCE"/>
    <w:rsid w:val="00FD56FA"/>
    <w:rsid w:val="00FD726A"/>
    <w:rsid w:val="00FE0A30"/>
    <w:rsid w:val="00FF0AEA"/>
    <w:rsid w:val="00FF251C"/>
    <w:rsid w:val="00FF44A9"/>
    <w:rsid w:val="00FF4678"/>
    <w:rsid w:val="00FF5278"/>
    <w:rsid w:val="00FF5636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  <w:style w:type="table" w:customStyle="1" w:styleId="TableGrid">
    <w:name w:val="TableGrid"/>
    <w:rsid w:val="003F290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page number"/>
    <w:basedOn w:val="a0"/>
    <w:uiPriority w:val="99"/>
    <w:unhideWhenUsed/>
    <w:rsid w:val="00852FD1"/>
    <w:rPr>
      <w:rFonts w:eastAsiaTheme="minorEastAsia" w:cstheme="minorBidi"/>
      <w:bCs w:val="0"/>
      <w:iCs w:val="0"/>
      <w:szCs w:val="22"/>
      <w:lang w:eastAsia="zh-TW"/>
    </w:rPr>
  </w:style>
  <w:style w:type="character" w:customStyle="1" w:styleId="period">
    <w:name w:val="period"/>
    <w:basedOn w:val="a0"/>
    <w:rsid w:val="00EF2A6E"/>
  </w:style>
  <w:style w:type="character" w:customStyle="1" w:styleId="title-text">
    <w:name w:val="title-text"/>
    <w:basedOn w:val="a0"/>
    <w:rsid w:val="00EF2A6E"/>
  </w:style>
  <w:style w:type="character" w:customStyle="1" w:styleId="docsum-authors">
    <w:name w:val="docsum-authors"/>
    <w:basedOn w:val="a0"/>
    <w:rsid w:val="00DA206C"/>
  </w:style>
  <w:style w:type="character" w:customStyle="1" w:styleId="docsum-journal-citation">
    <w:name w:val="docsum-journal-citation"/>
    <w:basedOn w:val="a0"/>
    <w:rsid w:val="00DA206C"/>
  </w:style>
  <w:style w:type="character" w:customStyle="1" w:styleId="secondary-date">
    <w:name w:val="secondary-date"/>
    <w:basedOn w:val="a0"/>
    <w:rsid w:val="00DB13C7"/>
  </w:style>
  <w:style w:type="character" w:customStyle="1" w:styleId="authors-list-item">
    <w:name w:val="authors-list-item"/>
    <w:basedOn w:val="a0"/>
    <w:rsid w:val="00DB13C7"/>
  </w:style>
  <w:style w:type="character" w:customStyle="1" w:styleId="author-sup-separator">
    <w:name w:val="author-sup-separator"/>
    <w:basedOn w:val="a0"/>
    <w:rsid w:val="00DB13C7"/>
  </w:style>
  <w:style w:type="character" w:customStyle="1" w:styleId="comma">
    <w:name w:val="comma"/>
    <w:basedOn w:val="a0"/>
    <w:rsid w:val="00DB1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Kamran+SC&amp;cauthor_id=31739952" TargetMode="External"/><Relationship Id="rId13" Type="http://schemas.openxmlformats.org/officeDocument/2006/relationships/hyperlink" Target="http://www.ncbi.nlm.nih.gov/pubmed?term=Buyyounouski%20MK%5BAuthor%5D&amp;cauthor=true&amp;cauthor_uid=20338473" TargetMode="External"/><Relationship Id="rId18" Type="http://schemas.openxmlformats.org/officeDocument/2006/relationships/hyperlink" Target="https://www.ncbi.nlm.nih.gov/pmc/articles/PMC6139853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22790288" TargetMode="External"/><Relationship Id="rId17" Type="http://schemas.openxmlformats.org/officeDocument/2006/relationships/hyperlink" Target="https://www.ncbi.nlm.nih.gov/pubmed/?term=Michalski%20JM%5BAuthor%5D&amp;cauthor=true&amp;cauthor_uid=3022870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Gay%20HA%5BAuthor%5D&amp;cauthor=true&amp;cauthor_uid=3022870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s.nci.nih.gov/ftp1/CTCAE/CTCAE_4.03_2010-06-14_QuickReference_5x7.pdf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Harris%20EE%5BAuthor%5D&amp;cauthor=true&amp;cauthor_uid=203384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ubmed.ncbi.nlm.nih.gov/36093341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D%27Amico+AV&amp;cauthor_id=31739952" TargetMode="External"/><Relationship Id="rId14" Type="http://schemas.openxmlformats.org/officeDocument/2006/relationships/hyperlink" Target="http://www.ncbi.nlm.nih.gov/pubmed?term=Price%20RA%20Jr%5BAuthor%5D&amp;cauthor=true&amp;cauthor_uid=20338473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F8E5F47F5B41FFA0A06525A5B861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1A21BF-74F9-4327-98BA-C0C87CD6699D}"/>
      </w:docPartPr>
      <w:docPartBody>
        <w:p w:rsidR="00230CF7" w:rsidRDefault="00EF48CA" w:rsidP="00EF48CA">
          <w:pPr>
            <w:pStyle w:val="EBF8E5F47F5B41FFA0A06525A5B861D7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Segoe UI Symbo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8CA"/>
    <w:rsid w:val="00004775"/>
    <w:rsid w:val="000B2455"/>
    <w:rsid w:val="001B7741"/>
    <w:rsid w:val="00230CF7"/>
    <w:rsid w:val="00264049"/>
    <w:rsid w:val="00291E63"/>
    <w:rsid w:val="002D18B1"/>
    <w:rsid w:val="00345F8C"/>
    <w:rsid w:val="003855C2"/>
    <w:rsid w:val="005145A6"/>
    <w:rsid w:val="005C1671"/>
    <w:rsid w:val="0082153C"/>
    <w:rsid w:val="009D64DF"/>
    <w:rsid w:val="00AC3E6F"/>
    <w:rsid w:val="00B25340"/>
    <w:rsid w:val="00B26D33"/>
    <w:rsid w:val="00B929BF"/>
    <w:rsid w:val="00BA6571"/>
    <w:rsid w:val="00CB10FD"/>
    <w:rsid w:val="00D94922"/>
    <w:rsid w:val="00EF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382E77A25D4AFA9DA005C7125B5B46">
    <w:name w:val="EA382E77A25D4AFA9DA005C7125B5B46"/>
    <w:rsid w:val="00EF48CA"/>
    <w:pPr>
      <w:widowControl w:val="0"/>
    </w:pPr>
  </w:style>
  <w:style w:type="paragraph" w:customStyle="1" w:styleId="EBF8E5F47F5B41FFA0A06525A5B861D7">
    <w:name w:val="EBF8E5F47F5B41FFA0A06525A5B861D7"/>
    <w:rsid w:val="00EF48CA"/>
    <w:pPr>
      <w:widowControl w:val="0"/>
    </w:pPr>
  </w:style>
  <w:style w:type="paragraph" w:customStyle="1" w:styleId="5F54D643ECD941BCBCAD989BBD7D3833">
    <w:name w:val="5F54D643ECD941BCBCAD989BBD7D3833"/>
    <w:rsid w:val="00EF48CA"/>
    <w:pPr>
      <w:widowControl w:val="0"/>
    </w:pPr>
  </w:style>
  <w:style w:type="paragraph" w:customStyle="1" w:styleId="E5FD7D9F8FE74ABC9210752342C60998">
    <w:name w:val="E5FD7D9F8FE74ABC9210752342C60998"/>
    <w:rsid w:val="00EF48CA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6604B-7E20-40F5-970C-5F36E988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1690</Words>
  <Characters>9635</Characters>
  <Application>Microsoft Office Word</Application>
  <DocSecurity>0</DocSecurity>
  <Lines>80</Lines>
  <Paragraphs>22</Paragraphs>
  <ScaleCrop>false</ScaleCrop>
  <Company>cmch</Company>
  <LinksUpToDate>false</LinksUpToDate>
  <CharactersWithSpaces>11303</CharactersWithSpaces>
  <SharedDoc>false</SharedDoc>
  <HLinks>
    <vt:vector size="24" baseType="variant">
      <vt:variant>
        <vt:i4>3145838</vt:i4>
      </vt:variant>
      <vt:variant>
        <vt:i4>9</vt:i4>
      </vt:variant>
      <vt:variant>
        <vt:i4>0</vt:i4>
      </vt:variant>
      <vt:variant>
        <vt:i4>5</vt:i4>
      </vt:variant>
      <vt:variant>
        <vt:lpwstr>http://www.nsabp.pitt.edu/B-39.asp</vt:lpwstr>
      </vt:variant>
      <vt:variant>
        <vt:lpwstr/>
      </vt:variant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http://www.rtog.org/ClinicalTrials/ProtocolTable/StudyDetails.aspx?study=1005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http://www.acr.org/SecondaryMainMenuCategories/quality_safety/app_criteria/pdf.aspx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http://www.nccn.org/professionals/physician_gls/PDF/breast.pdf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cancer</dc:title>
  <dc:creator>cmch</dc:creator>
  <cp:lastModifiedBy>user</cp:lastModifiedBy>
  <cp:revision>43</cp:revision>
  <cp:lastPrinted>2020-05-05T07:13:00Z</cp:lastPrinted>
  <dcterms:created xsi:type="dcterms:W3CDTF">2022-03-18T07:45:00Z</dcterms:created>
  <dcterms:modified xsi:type="dcterms:W3CDTF">2023-06-14T23:54:00Z</dcterms:modified>
</cp:coreProperties>
</file>