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9B" w:rsidRPr="00EA635C" w:rsidRDefault="0024589B" w:rsidP="0024589B">
      <w:pPr>
        <w:tabs>
          <w:tab w:val="left" w:pos="12972"/>
        </w:tabs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A635C">
        <w:rPr>
          <w:rFonts w:eastAsia="標楷體"/>
          <w:b/>
          <w:sz w:val="36"/>
          <w:szCs w:val="36"/>
        </w:rPr>
        <w:t>國軍高雄總醫院左營分院放射腫瘤科</w:t>
      </w:r>
    </w:p>
    <w:p w:rsidR="0024589B" w:rsidRPr="00496315" w:rsidRDefault="0024589B" w:rsidP="0024589B">
      <w:pPr>
        <w:spacing w:after="166" w:line="259" w:lineRule="auto"/>
        <w:ind w:left="2"/>
        <w:rPr>
          <w:rFonts w:eastAsia="標楷體"/>
        </w:rPr>
      </w:pPr>
      <w:r w:rsidRPr="00496315">
        <w:rPr>
          <w:rFonts w:eastAsia="標楷體"/>
          <w:b/>
          <w:sz w:val="32"/>
        </w:rPr>
        <w:t>202</w:t>
      </w:r>
      <w:r>
        <w:rPr>
          <w:rFonts w:eastAsia="標楷體" w:hint="eastAsia"/>
          <w:b/>
          <w:sz w:val="32"/>
        </w:rPr>
        <w:t>3</w:t>
      </w:r>
      <w:r w:rsidRPr="00A404FB">
        <w:rPr>
          <w:rFonts w:eastAsia="標楷體"/>
          <w:b/>
          <w:sz w:val="32"/>
        </w:rPr>
        <w:t>年</w:t>
      </w:r>
      <w:r>
        <w:rPr>
          <w:rFonts w:eastAsia="標楷體" w:hint="eastAsia"/>
          <w:b/>
          <w:sz w:val="32"/>
        </w:rPr>
        <w:t>食道</w:t>
      </w:r>
      <w:r w:rsidRPr="00A404FB">
        <w:rPr>
          <w:rFonts w:eastAsia="標楷體"/>
          <w:b/>
          <w:sz w:val="32"/>
        </w:rPr>
        <w:t>癌放射線治療指引</w:t>
      </w:r>
    </w:p>
    <w:p w:rsidR="0024589B" w:rsidRPr="00575481" w:rsidRDefault="0024589B" w:rsidP="0024589B">
      <w:pPr>
        <w:tabs>
          <w:tab w:val="left" w:pos="12972"/>
        </w:tabs>
        <w:rPr>
          <w:rFonts w:eastAsia="標楷體"/>
          <w:b/>
          <w:sz w:val="36"/>
          <w:szCs w:val="36"/>
        </w:rPr>
      </w:pPr>
      <w:r w:rsidRPr="00575481">
        <w:rPr>
          <w:rFonts w:eastAsia="標楷體" w:hAnsi="標楷體"/>
          <w:b/>
          <w:sz w:val="28"/>
          <w:szCs w:val="28"/>
        </w:rPr>
        <w:t>本版放射腫瘤科共識會議日期：</w:t>
      </w:r>
      <w:r w:rsidRPr="00575481">
        <w:rPr>
          <w:rFonts w:eastAsia="標楷體"/>
          <w:b/>
          <w:sz w:val="28"/>
          <w:szCs w:val="28"/>
        </w:rPr>
        <w:t>202</w:t>
      </w:r>
      <w:r>
        <w:rPr>
          <w:rFonts w:eastAsia="標楷體" w:hint="eastAsia"/>
          <w:b/>
          <w:sz w:val="28"/>
          <w:szCs w:val="28"/>
        </w:rPr>
        <w:t>3</w:t>
      </w:r>
      <w:r w:rsidRPr="00575481">
        <w:rPr>
          <w:rFonts w:eastAsia="標楷體" w:hAnsi="標楷體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6</w:t>
      </w:r>
      <w:r w:rsidRPr="00575481">
        <w:rPr>
          <w:rFonts w:eastAsia="標楷體" w:hAnsi="標楷體"/>
          <w:b/>
          <w:sz w:val="28"/>
          <w:szCs w:val="28"/>
        </w:rPr>
        <w:t>月</w:t>
      </w:r>
      <w:r w:rsidR="00914E05">
        <w:rPr>
          <w:rFonts w:eastAsia="標楷體" w:hint="eastAsia"/>
          <w:b/>
          <w:sz w:val="28"/>
          <w:szCs w:val="28"/>
        </w:rPr>
        <w:t>27</w:t>
      </w:r>
      <w:r w:rsidRPr="00575481">
        <w:rPr>
          <w:rFonts w:eastAsia="標楷體" w:hAnsi="標楷體"/>
          <w:b/>
          <w:sz w:val="28"/>
          <w:szCs w:val="28"/>
        </w:rPr>
        <w:t>日</w:t>
      </w:r>
      <w:r w:rsidRPr="00575481">
        <w:rPr>
          <w:rFonts w:eastAsia="標楷體"/>
          <w:b/>
          <w:sz w:val="28"/>
          <w:szCs w:val="28"/>
        </w:rPr>
        <w:t>(</w:t>
      </w:r>
      <w:r w:rsidRPr="00575481">
        <w:rPr>
          <w:rFonts w:eastAsia="標楷體" w:hAnsi="標楷體"/>
          <w:b/>
          <w:sz w:val="28"/>
          <w:szCs w:val="28"/>
        </w:rPr>
        <w:t>與國軍高雄總醫院放射腫瘤科崔樂平主任</w:t>
      </w:r>
      <w:r w:rsidRPr="00575481"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，</w:t>
      </w:r>
    </w:p>
    <w:p w:rsidR="0024589B" w:rsidRPr="00575481" w:rsidRDefault="0024589B" w:rsidP="0024589B">
      <w:pPr>
        <w:pStyle w:val="10"/>
        <w:spacing w:line="360" w:lineRule="auto"/>
      </w:pPr>
      <w:r w:rsidRPr="00575481">
        <w:rPr>
          <w:rFonts w:hAnsi="標楷體"/>
        </w:rPr>
        <w:t>本版定案日期：</w:t>
      </w:r>
      <w:r w:rsidRPr="00575481">
        <w:t>202</w:t>
      </w:r>
      <w:r>
        <w:rPr>
          <w:rFonts w:hint="eastAsia"/>
        </w:rPr>
        <w:t>3</w:t>
      </w:r>
      <w:r w:rsidRPr="00575481">
        <w:rPr>
          <w:rFonts w:hAnsi="標楷體"/>
        </w:rPr>
        <w:t>年</w:t>
      </w:r>
      <w:r>
        <w:rPr>
          <w:rFonts w:hint="eastAsia"/>
        </w:rPr>
        <w:t>6</w:t>
      </w:r>
      <w:r w:rsidRPr="00575481">
        <w:rPr>
          <w:rFonts w:hAnsi="標楷體"/>
        </w:rPr>
        <w:t>月</w:t>
      </w:r>
      <w:r w:rsidR="00914E05">
        <w:rPr>
          <w:rFonts w:hint="eastAsia"/>
        </w:rPr>
        <w:t>27</w:t>
      </w:r>
      <w:r w:rsidRPr="00575481">
        <w:rPr>
          <w:rFonts w:hAnsi="標楷體"/>
        </w:rPr>
        <w:t>日</w:t>
      </w:r>
      <w:r w:rsidR="00120366">
        <w:rPr>
          <w:rFonts w:hAnsi="標楷體" w:hint="eastAsia"/>
        </w:rPr>
        <w:t>。</w:t>
      </w:r>
    </w:p>
    <w:p w:rsidR="0024589B" w:rsidRPr="00EC477E" w:rsidRDefault="0024589B" w:rsidP="0024589B">
      <w:pPr>
        <w:pStyle w:val="10"/>
        <w:spacing w:line="360" w:lineRule="auto"/>
      </w:pPr>
      <w:r w:rsidRPr="00EC477E">
        <w:t>期別依據：</w:t>
      </w:r>
      <w:r w:rsidRPr="00EC477E">
        <w:t xml:space="preserve">AJCC </w:t>
      </w:r>
      <w:r w:rsidRPr="00EC477E">
        <w:rPr>
          <w:rFonts w:hint="eastAsia"/>
        </w:rPr>
        <w:t>8</w:t>
      </w:r>
      <w:r w:rsidRPr="00EC477E">
        <w:rPr>
          <w:vertAlign w:val="superscript"/>
        </w:rPr>
        <w:t>th</w:t>
      </w:r>
      <w:r w:rsidRPr="00EC477E">
        <w:t>edition(201</w:t>
      </w:r>
      <w:r w:rsidRPr="00EC477E">
        <w:rPr>
          <w:rFonts w:hint="eastAsia"/>
        </w:rPr>
        <w:t>7</w:t>
      </w:r>
      <w:r w:rsidRPr="00EC477E">
        <w:t>)</w:t>
      </w:r>
    </w:p>
    <w:p w:rsidR="0024589B" w:rsidRPr="00D066A0" w:rsidRDefault="0024589B" w:rsidP="0024589B">
      <w:pPr>
        <w:spacing w:line="360" w:lineRule="exact"/>
        <w:rPr>
          <w:rFonts w:eastAsia="標楷體"/>
        </w:rPr>
      </w:pPr>
    </w:p>
    <w:p w:rsidR="0024589B" w:rsidRPr="00D066A0" w:rsidRDefault="0024589B" w:rsidP="0024589B">
      <w:pPr>
        <w:spacing w:line="360" w:lineRule="exact"/>
        <w:rPr>
          <w:rFonts w:eastAsia="標楷體"/>
          <w:sz w:val="26"/>
          <w:szCs w:val="26"/>
        </w:rPr>
      </w:pPr>
      <w:r w:rsidRPr="00D066A0">
        <w:rPr>
          <w:rFonts w:eastAsia="標楷體" w:hint="eastAsia"/>
          <w:sz w:val="26"/>
          <w:szCs w:val="26"/>
        </w:rPr>
        <w:t>食道癌放射治療指引與監測修正對照表</w:t>
      </w:r>
    </w:p>
    <w:tbl>
      <w:tblPr>
        <w:tblStyle w:val="af2"/>
        <w:tblW w:w="5000" w:type="pct"/>
        <w:tblLook w:val="04A0"/>
      </w:tblPr>
      <w:tblGrid>
        <w:gridCol w:w="7336"/>
        <w:gridCol w:w="7332"/>
        <w:gridCol w:w="946"/>
      </w:tblGrid>
      <w:tr w:rsidR="0024589B" w:rsidRPr="00D066A0" w:rsidTr="00670D12">
        <w:tc>
          <w:tcPr>
            <w:tcW w:w="2349" w:type="pct"/>
            <w:vAlign w:val="center"/>
          </w:tcPr>
          <w:p w:rsidR="0024589B" w:rsidRPr="00120366" w:rsidRDefault="0024589B" w:rsidP="0012036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120366">
              <w:rPr>
                <w:rFonts w:ascii="Times New Roman" w:eastAsia="標楷體" w:hAnsi="Times New Roman"/>
                <w:sz w:val="26"/>
                <w:szCs w:val="26"/>
              </w:rPr>
              <w:t>2023</w:t>
            </w:r>
          </w:p>
        </w:tc>
        <w:tc>
          <w:tcPr>
            <w:tcW w:w="2348" w:type="pct"/>
            <w:vAlign w:val="center"/>
          </w:tcPr>
          <w:p w:rsidR="0024589B" w:rsidRPr="00120366" w:rsidRDefault="0024589B" w:rsidP="0012036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120366">
              <w:rPr>
                <w:rFonts w:ascii="Times New Roman" w:eastAsia="標楷體" w:hAnsi="Times New Roman"/>
                <w:sz w:val="26"/>
                <w:szCs w:val="26"/>
              </w:rPr>
              <w:t>2024</w:t>
            </w:r>
          </w:p>
        </w:tc>
        <w:tc>
          <w:tcPr>
            <w:tcW w:w="303" w:type="pct"/>
            <w:vAlign w:val="center"/>
          </w:tcPr>
          <w:p w:rsidR="0024589B" w:rsidRPr="00D066A0" w:rsidRDefault="0024589B" w:rsidP="0012036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066A0">
              <w:rPr>
                <w:rFonts w:eastAsia="標楷體"/>
                <w:bCs/>
                <w:sz w:val="26"/>
                <w:szCs w:val="26"/>
              </w:rPr>
              <w:t>說明</w:t>
            </w:r>
          </w:p>
        </w:tc>
      </w:tr>
      <w:tr w:rsidR="0024589B" w:rsidRPr="00D066A0" w:rsidTr="00120366">
        <w:trPr>
          <w:trHeight w:val="224"/>
        </w:trPr>
        <w:tc>
          <w:tcPr>
            <w:tcW w:w="2349" w:type="pct"/>
            <w:vAlign w:val="center"/>
          </w:tcPr>
          <w:p w:rsidR="0024589B" w:rsidRPr="00EB542E" w:rsidRDefault="00345087" w:rsidP="00120366">
            <w:pPr>
              <w:tabs>
                <w:tab w:val="left" w:pos="540"/>
              </w:tabs>
              <w:spacing w:line="36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新修訂</w:t>
            </w:r>
          </w:p>
        </w:tc>
        <w:tc>
          <w:tcPr>
            <w:tcW w:w="2348" w:type="pct"/>
            <w:vAlign w:val="center"/>
          </w:tcPr>
          <w:p w:rsidR="0024589B" w:rsidRPr="00EB542E" w:rsidRDefault="0024589B" w:rsidP="00120366">
            <w:pPr>
              <w:tabs>
                <w:tab w:val="left" w:pos="540"/>
              </w:tabs>
              <w:spacing w:line="360" w:lineRule="exact"/>
              <w:ind w:left="851" w:hanging="284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03" w:type="pct"/>
            <w:vAlign w:val="center"/>
          </w:tcPr>
          <w:p w:rsidR="0024589B" w:rsidRPr="00D066A0" w:rsidRDefault="00120366" w:rsidP="00120366">
            <w:pPr>
              <w:spacing w:line="36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新</w:t>
            </w:r>
            <w:r w:rsidRPr="003844FB">
              <w:rPr>
                <w:rFonts w:ascii="Times New Roman" w:eastAsia="標楷體" w:hAnsi="Times New Roman"/>
                <w:sz w:val="26"/>
              </w:rPr>
              <w:t>訂</w:t>
            </w:r>
          </w:p>
        </w:tc>
      </w:tr>
    </w:tbl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</w:p>
    <w:p w:rsidR="0024589B" w:rsidRPr="00D066A0" w:rsidRDefault="0024589B" w:rsidP="0024589B">
      <w:pPr>
        <w:widowControl/>
        <w:spacing w:line="360" w:lineRule="exact"/>
        <w:rPr>
          <w:rFonts w:eastAsia="標楷體"/>
          <w:color w:val="000000" w:themeColor="text1"/>
          <w:sz w:val="26"/>
          <w:szCs w:val="26"/>
          <w:highlight w:val="lightGray"/>
        </w:rPr>
        <w:sectPr w:rsidR="0024589B" w:rsidRPr="00D066A0" w:rsidSect="002458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720" w:right="720" w:bottom="720" w:left="720" w:header="567" w:footer="567" w:gutter="0"/>
          <w:pgNumType w:start="53"/>
          <w:cols w:space="425"/>
          <w:titlePg/>
          <w:docGrid w:type="lines" w:linePitch="360"/>
        </w:sectPr>
      </w:pPr>
    </w:p>
    <w:p w:rsidR="0024589B" w:rsidRPr="00D066A0" w:rsidRDefault="0024589B" w:rsidP="00914E05">
      <w:pPr>
        <w:widowControl/>
        <w:snapToGrid w:val="0"/>
        <w:spacing w:afterLines="50" w:line="360" w:lineRule="exact"/>
        <w:rPr>
          <w:rFonts w:eastAsia="標楷體"/>
          <w:color w:val="000000" w:themeColor="text1"/>
          <w:sz w:val="26"/>
          <w:szCs w:val="26"/>
          <w:highlight w:val="lightGray"/>
        </w:rPr>
      </w:pPr>
      <w:r w:rsidRPr="00D066A0">
        <w:rPr>
          <w:rFonts w:eastAsia="標楷體"/>
          <w:b/>
          <w:bCs/>
          <w:color w:val="000000" w:themeColor="text1"/>
          <w:sz w:val="28"/>
        </w:rPr>
        <w:lastRenderedPageBreak/>
        <w:t>放射治療適應症</w:t>
      </w:r>
    </w:p>
    <w:p w:rsidR="0024589B" w:rsidRPr="00D066A0" w:rsidRDefault="0024589B" w:rsidP="0024589B">
      <w:pPr>
        <w:tabs>
          <w:tab w:val="left" w:pos="540"/>
        </w:tabs>
        <w:spacing w:line="360" w:lineRule="exact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 w:hint="eastAsia"/>
          <w:color w:val="000000" w:themeColor="text1"/>
          <w:sz w:val="26"/>
          <w:szCs w:val="26"/>
        </w:rPr>
        <w:t>一、</w:t>
      </w:r>
      <w:r w:rsidRPr="00D066A0">
        <w:rPr>
          <w:rFonts w:eastAsia="標楷體"/>
          <w:color w:val="000000" w:themeColor="text1"/>
          <w:sz w:val="26"/>
          <w:szCs w:val="26"/>
        </w:rPr>
        <w:t>根治性目的</w:t>
      </w:r>
      <w:r w:rsidRPr="00D066A0">
        <w:rPr>
          <w:rFonts w:eastAsia="標楷體"/>
          <w:color w:val="000000" w:themeColor="text1"/>
          <w:sz w:val="26"/>
          <w:szCs w:val="26"/>
        </w:rPr>
        <w:t>(curative intent)</w:t>
      </w:r>
    </w:p>
    <w:p w:rsidR="0024589B" w:rsidRPr="00D066A0" w:rsidRDefault="0024589B" w:rsidP="004F2BC4">
      <w:pPr>
        <w:pStyle w:val="ab"/>
        <w:numPr>
          <w:ilvl w:val="1"/>
          <w:numId w:val="6"/>
        </w:numPr>
        <w:spacing w:line="360" w:lineRule="exact"/>
        <w:ind w:leftChars="0" w:left="211" w:hanging="211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T1-T4a</w:t>
      </w:r>
      <w:r w:rsidRPr="00D066A0">
        <w:rPr>
          <w:rFonts w:eastAsia="標楷體"/>
          <w:color w:val="000000" w:themeColor="text1"/>
          <w:sz w:val="26"/>
          <w:szCs w:val="26"/>
        </w:rPr>
        <w:t>健康狀況不適合手術但可化學治療，或不選擇手術的</w:t>
      </w:r>
      <w:r w:rsidRPr="00D066A0">
        <w:rPr>
          <w:rFonts w:eastAsia="標楷體"/>
          <w:color w:val="000000" w:themeColor="text1"/>
          <w:sz w:val="26"/>
          <w:szCs w:val="26"/>
        </w:rPr>
        <w:t>M0</w:t>
      </w:r>
      <w:r w:rsidRPr="00D066A0">
        <w:rPr>
          <w:rFonts w:eastAsia="標楷體"/>
          <w:color w:val="000000" w:themeColor="text1"/>
          <w:sz w:val="26"/>
          <w:szCs w:val="26"/>
        </w:rPr>
        <w:t>病人</w:t>
      </w:r>
    </w:p>
    <w:p w:rsidR="0024589B" w:rsidRPr="00D066A0" w:rsidRDefault="0024589B" w:rsidP="004F2BC4">
      <w:pPr>
        <w:pStyle w:val="ab"/>
        <w:numPr>
          <w:ilvl w:val="1"/>
          <w:numId w:val="6"/>
        </w:numPr>
        <w:spacing w:line="360" w:lineRule="exact"/>
        <w:ind w:leftChars="0" w:left="211" w:hanging="211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同步化學及放射治療</w:t>
      </w:r>
      <w:r w:rsidRPr="00D066A0">
        <w:rPr>
          <w:rFonts w:eastAsia="標楷體"/>
          <w:color w:val="000000" w:themeColor="text1"/>
          <w:sz w:val="26"/>
          <w:szCs w:val="26"/>
        </w:rPr>
        <w:t>–T1b-T4b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or N+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M0</w:t>
      </w:r>
    </w:p>
    <w:p w:rsidR="0024589B" w:rsidRPr="00D066A0" w:rsidRDefault="0024589B" w:rsidP="004F2BC4">
      <w:pPr>
        <w:pStyle w:val="ab"/>
        <w:numPr>
          <w:ilvl w:val="1"/>
          <w:numId w:val="6"/>
        </w:numPr>
        <w:spacing w:line="360" w:lineRule="exact"/>
        <w:ind w:leftChars="0" w:left="211" w:hanging="211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手術前輔助治療</w:t>
      </w:r>
      <w:r w:rsidRPr="00D066A0">
        <w:rPr>
          <w:rFonts w:eastAsia="標楷體"/>
          <w:color w:val="000000" w:themeColor="text1"/>
          <w:sz w:val="26"/>
          <w:szCs w:val="26"/>
        </w:rPr>
        <w:t>-T1b-T4a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or N+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M0</w:t>
      </w:r>
    </w:p>
    <w:p w:rsidR="0024589B" w:rsidRPr="00D066A0" w:rsidRDefault="0024589B" w:rsidP="004F2BC4">
      <w:pPr>
        <w:pStyle w:val="ab"/>
        <w:numPr>
          <w:ilvl w:val="1"/>
          <w:numId w:val="6"/>
        </w:numPr>
        <w:spacing w:line="360" w:lineRule="exact"/>
        <w:ind w:leftChars="0" w:left="211" w:hanging="211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手術後輔助治療</w:t>
      </w:r>
      <w:r w:rsidRPr="00D066A0">
        <w:rPr>
          <w:rFonts w:eastAsia="標楷體" w:hint="eastAsia"/>
          <w:color w:val="000000" w:themeColor="text1"/>
          <w:sz w:val="26"/>
          <w:szCs w:val="26"/>
        </w:rPr>
        <w:t>-</w:t>
      </w:r>
      <w:r w:rsidRPr="00D066A0">
        <w:rPr>
          <w:rFonts w:eastAsia="標楷體"/>
          <w:color w:val="000000" w:themeColor="text1"/>
          <w:sz w:val="26"/>
          <w:szCs w:val="26"/>
        </w:rPr>
        <w:t>R1 or R2 resection</w:t>
      </w:r>
      <w:r w:rsidRPr="00D066A0">
        <w:rPr>
          <w:rFonts w:eastAsia="標楷體"/>
          <w:color w:val="000000" w:themeColor="text1"/>
          <w:sz w:val="26"/>
          <w:szCs w:val="26"/>
        </w:rPr>
        <w:t>；</w:t>
      </w:r>
      <w:r w:rsidRPr="00D066A0">
        <w:rPr>
          <w:rFonts w:eastAsia="標楷體"/>
          <w:color w:val="000000" w:themeColor="text1"/>
          <w:sz w:val="26"/>
          <w:szCs w:val="26"/>
        </w:rPr>
        <w:t>pT3 (option)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pT4 or pN+.</w:t>
      </w:r>
    </w:p>
    <w:p w:rsidR="0024589B" w:rsidRPr="00D066A0" w:rsidRDefault="0024589B" w:rsidP="004F2BC4">
      <w:pPr>
        <w:pStyle w:val="ab"/>
        <w:numPr>
          <w:ilvl w:val="1"/>
          <w:numId w:val="6"/>
        </w:numPr>
        <w:spacing w:line="360" w:lineRule="exact"/>
        <w:ind w:leftChars="0" w:left="211" w:hanging="211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未產生遠端轉移之局部復發</w:t>
      </w:r>
    </w:p>
    <w:p w:rsidR="0024589B" w:rsidRPr="00D066A0" w:rsidRDefault="0024589B" w:rsidP="00914E05">
      <w:pPr>
        <w:pStyle w:val="ab"/>
        <w:numPr>
          <w:ilvl w:val="1"/>
          <w:numId w:val="6"/>
        </w:numPr>
        <w:spacing w:afterLines="50" w:line="360" w:lineRule="exact"/>
        <w:ind w:leftChars="0" w:left="211" w:hanging="211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 w:hint="eastAsia"/>
          <w:color w:val="000000" w:themeColor="text1"/>
          <w:sz w:val="26"/>
          <w:szCs w:val="26"/>
        </w:rPr>
        <w:t>寡轉移</w:t>
      </w:r>
      <w:r w:rsidRPr="00D066A0">
        <w:rPr>
          <w:rFonts w:eastAsia="標楷體"/>
          <w:color w:val="000000" w:themeColor="text1"/>
          <w:sz w:val="26"/>
          <w:szCs w:val="26"/>
        </w:rPr>
        <w:t>(oligometastatses)</w:t>
      </w:r>
      <w:r w:rsidRPr="00D066A0">
        <w:rPr>
          <w:rFonts w:eastAsia="標楷體" w:hint="eastAsia"/>
          <w:color w:val="000000" w:themeColor="text1"/>
          <w:sz w:val="26"/>
          <w:szCs w:val="26"/>
        </w:rPr>
        <w:t>且</w:t>
      </w:r>
      <w:r w:rsidRPr="00D066A0">
        <w:rPr>
          <w:rFonts w:eastAsia="標楷體"/>
          <w:color w:val="000000" w:themeColor="text1"/>
          <w:sz w:val="26"/>
          <w:szCs w:val="26"/>
        </w:rPr>
        <w:t>ECOG performance status &lt; 2</w:t>
      </w:r>
    </w:p>
    <w:p w:rsidR="0024589B" w:rsidRPr="00D066A0" w:rsidRDefault="0024589B" w:rsidP="0024589B">
      <w:pPr>
        <w:tabs>
          <w:tab w:val="left" w:pos="540"/>
          <w:tab w:val="num" w:pos="720"/>
        </w:tabs>
        <w:spacing w:line="360" w:lineRule="exact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 w:hint="eastAsia"/>
          <w:color w:val="000000" w:themeColor="text1"/>
          <w:sz w:val="26"/>
          <w:szCs w:val="26"/>
        </w:rPr>
        <w:t>二、</w:t>
      </w:r>
      <w:r w:rsidRPr="00D066A0">
        <w:rPr>
          <w:rFonts w:eastAsia="標楷體"/>
          <w:color w:val="000000" w:themeColor="text1"/>
          <w:sz w:val="26"/>
          <w:szCs w:val="26"/>
        </w:rPr>
        <w:t>緩解性目的</w:t>
      </w:r>
      <w:r w:rsidRPr="00D066A0">
        <w:rPr>
          <w:rFonts w:eastAsia="標楷體"/>
          <w:color w:val="000000" w:themeColor="text1"/>
          <w:sz w:val="26"/>
          <w:szCs w:val="26"/>
        </w:rPr>
        <w:t>(palliative intent)</w:t>
      </w:r>
    </w:p>
    <w:p w:rsidR="0024589B" w:rsidRPr="00D066A0" w:rsidRDefault="0024589B" w:rsidP="004F2BC4">
      <w:pPr>
        <w:numPr>
          <w:ilvl w:val="0"/>
          <w:numId w:val="7"/>
        </w:numPr>
        <w:tabs>
          <w:tab w:val="left" w:pos="12972"/>
        </w:tabs>
        <w:spacing w:line="360" w:lineRule="exact"/>
        <w:ind w:left="851" w:hanging="284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T4b</w:t>
      </w:r>
      <w:r w:rsidRPr="00D066A0">
        <w:rPr>
          <w:rFonts w:eastAsia="標楷體"/>
          <w:color w:val="000000" w:themeColor="text1"/>
          <w:sz w:val="26"/>
          <w:szCs w:val="26"/>
        </w:rPr>
        <w:t>且</w:t>
      </w:r>
      <w:r w:rsidRPr="00D066A0">
        <w:rPr>
          <w:rFonts w:eastAsia="標楷體"/>
          <w:color w:val="000000" w:themeColor="text1"/>
          <w:sz w:val="26"/>
          <w:szCs w:val="26"/>
        </w:rPr>
        <w:t xml:space="preserve"> ECOG performance status</w:t>
      </w:r>
      <w:r w:rsidRPr="00D066A0">
        <w:rPr>
          <w:rFonts w:eastAsia="標楷體" w:cs="新細明體" w:hint="eastAsia"/>
          <w:color w:val="000000" w:themeColor="text1"/>
          <w:sz w:val="26"/>
          <w:szCs w:val="26"/>
        </w:rPr>
        <w:t>≧</w:t>
      </w:r>
      <w:r w:rsidRPr="00D066A0">
        <w:rPr>
          <w:rFonts w:eastAsia="標楷體"/>
          <w:color w:val="000000" w:themeColor="text1"/>
          <w:sz w:val="26"/>
          <w:szCs w:val="26"/>
        </w:rPr>
        <w:t>2</w:t>
      </w:r>
    </w:p>
    <w:p w:rsidR="0024589B" w:rsidRPr="00D066A0" w:rsidRDefault="0024589B" w:rsidP="004F2BC4">
      <w:pPr>
        <w:numPr>
          <w:ilvl w:val="0"/>
          <w:numId w:val="7"/>
        </w:numPr>
        <w:tabs>
          <w:tab w:val="left" w:pos="12972"/>
        </w:tabs>
        <w:spacing w:line="360" w:lineRule="exact"/>
        <w:ind w:left="851" w:hanging="284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遠端轉移病灶</w:t>
      </w:r>
    </w:p>
    <w:p w:rsidR="0024589B" w:rsidRPr="00D066A0" w:rsidRDefault="0024589B" w:rsidP="004F2BC4">
      <w:pPr>
        <w:numPr>
          <w:ilvl w:val="0"/>
          <w:numId w:val="7"/>
        </w:numPr>
        <w:tabs>
          <w:tab w:val="left" w:pos="12972"/>
        </w:tabs>
        <w:spacing w:line="360" w:lineRule="exact"/>
        <w:ind w:left="851" w:hanging="284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產生症狀之局部復發併有遠端轉移</w:t>
      </w:r>
    </w:p>
    <w:p w:rsidR="0024589B" w:rsidRPr="00D066A0" w:rsidRDefault="0024589B" w:rsidP="004F2BC4">
      <w:pPr>
        <w:numPr>
          <w:ilvl w:val="0"/>
          <w:numId w:val="7"/>
        </w:numPr>
        <w:tabs>
          <w:tab w:val="left" w:pos="12972"/>
        </w:tabs>
        <w:spacing w:line="360" w:lineRule="exact"/>
        <w:ind w:left="851" w:hanging="284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寡轉移</w:t>
      </w:r>
      <w:r w:rsidRPr="00D066A0">
        <w:rPr>
          <w:rFonts w:eastAsia="標楷體"/>
          <w:color w:val="000000" w:themeColor="text1"/>
          <w:sz w:val="26"/>
          <w:szCs w:val="26"/>
        </w:rPr>
        <w:t>(oligometastatses)</w:t>
      </w:r>
      <w:r w:rsidRPr="00D066A0">
        <w:rPr>
          <w:rFonts w:eastAsia="標楷體"/>
          <w:color w:val="000000" w:themeColor="text1"/>
          <w:sz w:val="26"/>
          <w:szCs w:val="26"/>
        </w:rPr>
        <w:t>且</w:t>
      </w:r>
      <w:r w:rsidRPr="00D066A0">
        <w:rPr>
          <w:rFonts w:eastAsia="標楷體"/>
          <w:color w:val="000000" w:themeColor="text1"/>
          <w:sz w:val="26"/>
          <w:szCs w:val="26"/>
        </w:rPr>
        <w:t>ECOG performance status</w:t>
      </w:r>
      <w:r w:rsidRPr="00D066A0">
        <w:rPr>
          <w:rFonts w:eastAsia="標楷體" w:cs="新細明體" w:hint="eastAsia"/>
          <w:color w:val="000000" w:themeColor="text1"/>
          <w:sz w:val="26"/>
          <w:szCs w:val="26"/>
        </w:rPr>
        <w:t>≧</w:t>
      </w:r>
      <w:r w:rsidRPr="00D066A0">
        <w:rPr>
          <w:rFonts w:eastAsia="標楷體"/>
          <w:color w:val="000000" w:themeColor="text1"/>
          <w:sz w:val="26"/>
          <w:szCs w:val="26"/>
        </w:rPr>
        <w:t>2</w:t>
      </w:r>
    </w:p>
    <w:p w:rsidR="0024589B" w:rsidRDefault="0024589B" w:rsidP="004F2BC4">
      <w:pPr>
        <w:numPr>
          <w:ilvl w:val="0"/>
          <w:numId w:val="7"/>
        </w:numPr>
        <w:tabs>
          <w:tab w:val="left" w:pos="12972"/>
        </w:tabs>
        <w:spacing w:line="360" w:lineRule="exact"/>
        <w:ind w:left="851" w:hanging="284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健康狀況不適合手術及化學治療的</w:t>
      </w:r>
      <w:r w:rsidRPr="00D066A0">
        <w:rPr>
          <w:rFonts w:eastAsia="標楷體"/>
          <w:color w:val="000000" w:themeColor="text1"/>
          <w:sz w:val="26"/>
          <w:szCs w:val="26"/>
        </w:rPr>
        <w:t>M0</w:t>
      </w:r>
      <w:r w:rsidRPr="00D066A0">
        <w:rPr>
          <w:rFonts w:eastAsia="標楷體"/>
          <w:color w:val="000000" w:themeColor="text1"/>
          <w:sz w:val="26"/>
          <w:szCs w:val="26"/>
        </w:rPr>
        <w:t>病人</w:t>
      </w: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</w:p>
    <w:p w:rsidR="0024589B" w:rsidRPr="00D066A0" w:rsidRDefault="0024589B" w:rsidP="0024589B">
      <w:pPr>
        <w:tabs>
          <w:tab w:val="left" w:pos="12972"/>
        </w:tabs>
        <w:spacing w:line="360" w:lineRule="exact"/>
        <w:ind w:left="851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ab/>
      </w:r>
    </w:p>
    <w:p w:rsidR="0024589B" w:rsidRPr="00D066A0" w:rsidRDefault="0024589B" w:rsidP="00914E05">
      <w:pPr>
        <w:widowControl/>
        <w:snapToGrid w:val="0"/>
        <w:spacing w:afterLines="50" w:line="360" w:lineRule="exact"/>
        <w:rPr>
          <w:rFonts w:eastAsia="標楷體"/>
          <w:b/>
          <w:bCs/>
          <w:color w:val="000000" w:themeColor="text1"/>
          <w:sz w:val="28"/>
        </w:rPr>
      </w:pPr>
      <w:r w:rsidRPr="00D066A0">
        <w:rPr>
          <w:rFonts w:eastAsia="標楷體"/>
          <w:color w:val="000000" w:themeColor="text1"/>
          <w:sz w:val="26"/>
          <w:szCs w:val="26"/>
        </w:rPr>
        <w:br w:type="page"/>
      </w:r>
      <w:r w:rsidRPr="00D066A0">
        <w:rPr>
          <w:rFonts w:eastAsia="標楷體"/>
          <w:b/>
          <w:bCs/>
          <w:color w:val="000000" w:themeColor="text1"/>
          <w:sz w:val="28"/>
        </w:rPr>
        <w:lastRenderedPageBreak/>
        <w:t>根治性放射治療必要流程</w:t>
      </w:r>
    </w:p>
    <w:p w:rsidR="0024589B" w:rsidRPr="00D066A0" w:rsidRDefault="0024589B" w:rsidP="0024589B">
      <w:pPr>
        <w:spacing w:line="360" w:lineRule="exact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一、治療計劃前完整的臨床評估</w:t>
      </w:r>
    </w:p>
    <w:p w:rsidR="0024589B" w:rsidRPr="00D066A0" w:rsidRDefault="0024589B" w:rsidP="004F2BC4">
      <w:pPr>
        <w:numPr>
          <w:ilvl w:val="0"/>
          <w:numId w:val="3"/>
        </w:numPr>
        <w:tabs>
          <w:tab w:val="left" w:pos="540"/>
        </w:tabs>
        <w:spacing w:line="360" w:lineRule="exact"/>
        <w:ind w:left="851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確認期別及病理報告</w:t>
      </w:r>
      <w:r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24589B" w:rsidRPr="00D066A0" w:rsidRDefault="0024589B" w:rsidP="004F2BC4">
      <w:pPr>
        <w:numPr>
          <w:ilvl w:val="0"/>
          <w:numId w:val="3"/>
        </w:numPr>
        <w:tabs>
          <w:tab w:val="left" w:pos="540"/>
        </w:tabs>
        <w:spacing w:line="360" w:lineRule="exact"/>
        <w:ind w:left="851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必要檢驗以排除全身多處轉移可能</w:t>
      </w:r>
      <w:r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24589B" w:rsidRPr="00D066A0" w:rsidRDefault="0024589B" w:rsidP="00914E05">
      <w:pPr>
        <w:numPr>
          <w:ilvl w:val="0"/>
          <w:numId w:val="3"/>
        </w:numPr>
        <w:tabs>
          <w:tab w:val="left" w:pos="540"/>
        </w:tabs>
        <w:spacing w:afterLines="50" w:line="360" w:lineRule="exact"/>
        <w:ind w:left="851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經團隊會議討論或相關科別照會</w:t>
      </w:r>
      <w:r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24589B" w:rsidRPr="00D066A0" w:rsidRDefault="0024589B" w:rsidP="004F2BC4">
      <w:pPr>
        <w:numPr>
          <w:ilvl w:val="0"/>
          <w:numId w:val="9"/>
        </w:numPr>
        <w:tabs>
          <w:tab w:val="left" w:pos="540"/>
        </w:tabs>
        <w:spacing w:line="360" w:lineRule="exact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治療體位設定</w:t>
      </w:r>
    </w:p>
    <w:p w:rsidR="0024589B" w:rsidRPr="00D066A0" w:rsidRDefault="0024589B" w:rsidP="00914E05">
      <w:pPr>
        <w:numPr>
          <w:ilvl w:val="1"/>
          <w:numId w:val="9"/>
        </w:numPr>
        <w:tabs>
          <w:tab w:val="left" w:pos="540"/>
        </w:tabs>
        <w:spacing w:afterLines="50" w:line="360" w:lineRule="exact"/>
        <w:ind w:left="851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病人採仰臥，通常食道腫瘤中段及下段雙側上肢上舉。若為上段腫瘤，可不需上肢上舉。以</w:t>
      </w:r>
      <w:r w:rsidR="00D4407F" w:rsidRPr="0047023E">
        <w:rPr>
          <w:rFonts w:eastAsia="標楷體"/>
          <w:sz w:val="26"/>
        </w:rPr>
        <w:t>頸肩胸</w:t>
      </w:r>
      <w:r w:rsidRPr="00D066A0">
        <w:rPr>
          <w:rFonts w:eastAsia="標楷體"/>
          <w:color w:val="000000" w:themeColor="text1"/>
          <w:sz w:val="26"/>
          <w:szCs w:val="26"/>
        </w:rPr>
        <w:t>模具固定，治療標記設定於模具及身體上。</w:t>
      </w:r>
    </w:p>
    <w:p w:rsidR="0024589B" w:rsidRPr="00D066A0" w:rsidRDefault="0024589B" w:rsidP="004F2BC4">
      <w:pPr>
        <w:numPr>
          <w:ilvl w:val="0"/>
          <w:numId w:val="9"/>
        </w:numPr>
        <w:tabs>
          <w:tab w:val="left" w:pos="540"/>
        </w:tabs>
        <w:spacing w:line="360" w:lineRule="exact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模擬攝影</w:t>
      </w:r>
    </w:p>
    <w:p w:rsidR="0024589B" w:rsidRPr="00345087" w:rsidRDefault="0024589B" w:rsidP="004F2BC4">
      <w:pPr>
        <w:numPr>
          <w:ilvl w:val="1"/>
          <w:numId w:val="9"/>
        </w:numPr>
        <w:tabs>
          <w:tab w:val="left" w:pos="540"/>
        </w:tabs>
        <w:spacing w:line="360" w:lineRule="exact"/>
        <w:ind w:left="851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病人依設定體位躺上電腦斷層攝影床，必要時以金屬線進行標記，並配合模具。</w:t>
      </w:r>
      <w:r w:rsidRPr="00345087">
        <w:rPr>
          <w:rFonts w:eastAsia="標楷體"/>
          <w:color w:val="000000" w:themeColor="text1"/>
          <w:sz w:val="26"/>
          <w:szCs w:val="26"/>
        </w:rPr>
        <w:t>通常病人可採自由呼吸。</w:t>
      </w:r>
    </w:p>
    <w:p w:rsidR="0024589B" w:rsidRPr="00D066A0" w:rsidRDefault="0024589B" w:rsidP="004F2BC4">
      <w:pPr>
        <w:numPr>
          <w:ilvl w:val="1"/>
          <w:numId w:val="9"/>
        </w:numPr>
        <w:tabs>
          <w:tab w:val="left" w:pos="540"/>
        </w:tabs>
        <w:spacing w:line="360" w:lineRule="exact"/>
        <w:ind w:left="851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通常電腦斷層掃描每切面間距應不大於</w:t>
      </w:r>
      <w:r w:rsidRPr="00D066A0">
        <w:rPr>
          <w:rFonts w:eastAsia="標楷體"/>
          <w:color w:val="000000" w:themeColor="text1"/>
          <w:sz w:val="26"/>
          <w:szCs w:val="26"/>
        </w:rPr>
        <w:t>5mm</w:t>
      </w:r>
      <w:r w:rsidRPr="00D066A0">
        <w:rPr>
          <w:rFonts w:eastAsia="標楷體"/>
          <w:color w:val="000000" w:themeColor="text1"/>
          <w:sz w:val="26"/>
          <w:szCs w:val="26"/>
        </w:rPr>
        <w:t>，掃描範圍應至少包括腫瘤及全肺部並超過治療區域</w:t>
      </w:r>
      <w:r w:rsidRPr="00D066A0">
        <w:rPr>
          <w:rFonts w:eastAsia="標楷體"/>
          <w:color w:val="000000" w:themeColor="text1"/>
          <w:sz w:val="26"/>
          <w:szCs w:val="26"/>
        </w:rPr>
        <w:t>5-10 cm</w:t>
      </w:r>
      <w:r w:rsidRPr="00D066A0">
        <w:rPr>
          <w:rFonts w:eastAsia="標楷體"/>
          <w:color w:val="000000" w:themeColor="text1"/>
          <w:sz w:val="26"/>
          <w:szCs w:val="26"/>
        </w:rPr>
        <w:t>。</w:t>
      </w:r>
    </w:p>
    <w:p w:rsidR="0024589B" w:rsidRPr="00D066A0" w:rsidRDefault="0024589B" w:rsidP="00914E05">
      <w:pPr>
        <w:numPr>
          <w:ilvl w:val="1"/>
          <w:numId w:val="9"/>
        </w:numPr>
        <w:tabs>
          <w:tab w:val="left" w:pos="540"/>
        </w:tabs>
        <w:spacing w:afterLines="50" w:line="360" w:lineRule="exact"/>
        <w:ind w:left="851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掃描後</w:t>
      </w:r>
      <w:r w:rsidR="006C3FB7" w:rsidRPr="0047023E">
        <w:rPr>
          <w:rFonts w:eastAsia="標楷體"/>
          <w:sz w:val="26"/>
        </w:rPr>
        <w:t>應注意中心點是否偏移，並以油性</w:t>
      </w:r>
      <w:r w:rsidR="006C3FB7" w:rsidRPr="0047023E">
        <w:rPr>
          <w:rFonts w:eastAsia="標楷體" w:hint="eastAsia"/>
          <w:sz w:val="26"/>
          <w:szCs w:val="26"/>
        </w:rPr>
        <w:t>水洗不掉</w:t>
      </w:r>
      <w:r w:rsidR="006C3FB7" w:rsidRPr="0047023E">
        <w:rPr>
          <w:rFonts w:eastAsia="標楷體"/>
          <w:sz w:val="26"/>
        </w:rPr>
        <w:t>簽字筆作好標記供治療辨認。</w:t>
      </w:r>
    </w:p>
    <w:p w:rsidR="0024589B" w:rsidRPr="00D066A0" w:rsidRDefault="0024589B" w:rsidP="004F2BC4">
      <w:pPr>
        <w:pStyle w:val="ab"/>
        <w:numPr>
          <w:ilvl w:val="0"/>
          <w:numId w:val="9"/>
        </w:numPr>
        <w:tabs>
          <w:tab w:val="left" w:pos="540"/>
        </w:tabs>
        <w:spacing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治療計劃</w:t>
      </w:r>
      <w:r w:rsidRPr="00D066A0">
        <w:rPr>
          <w:rFonts w:eastAsia="標楷體"/>
          <w:color w:val="000000" w:themeColor="text1"/>
          <w:sz w:val="26"/>
          <w:szCs w:val="26"/>
        </w:rPr>
        <w:t>(treatment planning)</w:t>
      </w:r>
      <w:r>
        <w:rPr>
          <w:rFonts w:eastAsia="標楷體" w:hint="eastAsia"/>
          <w:color w:val="000000" w:themeColor="text1"/>
          <w:sz w:val="26"/>
          <w:szCs w:val="26"/>
        </w:rPr>
        <w:t>-</w:t>
      </w:r>
    </w:p>
    <w:p w:rsidR="0024589B" w:rsidRPr="00D066A0" w:rsidRDefault="0024589B" w:rsidP="004F2BC4">
      <w:pPr>
        <w:pStyle w:val="ab"/>
        <w:numPr>
          <w:ilvl w:val="0"/>
          <w:numId w:val="8"/>
        </w:numPr>
        <w:spacing w:line="35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腫瘤體積</w:t>
      </w:r>
      <w:r w:rsidRPr="00D066A0">
        <w:rPr>
          <w:rFonts w:eastAsia="標楷體"/>
          <w:color w:val="000000" w:themeColor="text1"/>
          <w:sz w:val="26"/>
          <w:szCs w:val="26"/>
        </w:rPr>
        <w:t>(TV target volume)</w:t>
      </w:r>
    </w:p>
    <w:p w:rsidR="0024589B" w:rsidRPr="008000A6" w:rsidRDefault="0024589B" w:rsidP="004F2BC4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35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8000A6">
        <w:rPr>
          <w:rFonts w:eastAsia="標楷體"/>
          <w:color w:val="000000" w:themeColor="text1"/>
          <w:sz w:val="26"/>
          <w:szCs w:val="26"/>
        </w:rPr>
        <w:t>Definitive RT</w:t>
      </w:r>
      <w:r w:rsidRPr="008000A6">
        <w:rPr>
          <w:rFonts w:eastAsia="標楷體"/>
          <w:color w:val="000000" w:themeColor="text1"/>
          <w:sz w:val="26"/>
          <w:szCs w:val="26"/>
        </w:rPr>
        <w:t>：</w:t>
      </w:r>
      <w:r w:rsidRPr="008000A6">
        <w:rPr>
          <w:rFonts w:eastAsia="標楷體"/>
          <w:color w:val="000000" w:themeColor="text1"/>
          <w:sz w:val="26"/>
          <w:szCs w:val="26"/>
        </w:rPr>
        <w:t>GTV</w:t>
      </w:r>
      <w:r w:rsidRPr="008000A6">
        <w:rPr>
          <w:rFonts w:eastAsia="標楷體"/>
          <w:color w:val="000000" w:themeColor="text1"/>
          <w:sz w:val="26"/>
          <w:szCs w:val="26"/>
        </w:rPr>
        <w:t>以</w:t>
      </w:r>
      <w:r w:rsidRPr="008000A6">
        <w:rPr>
          <w:rFonts w:eastAsia="標楷體"/>
          <w:color w:val="000000" w:themeColor="text1"/>
          <w:sz w:val="26"/>
          <w:szCs w:val="26"/>
        </w:rPr>
        <w:t>CT</w:t>
      </w:r>
      <w:r w:rsidRPr="008000A6">
        <w:rPr>
          <w:rFonts w:eastAsia="標楷體"/>
          <w:color w:val="000000" w:themeColor="text1"/>
          <w:sz w:val="26"/>
          <w:szCs w:val="26"/>
        </w:rPr>
        <w:t>，</w:t>
      </w:r>
      <w:r w:rsidRPr="008000A6">
        <w:rPr>
          <w:rFonts w:eastAsia="標楷體"/>
          <w:color w:val="000000" w:themeColor="text1"/>
          <w:sz w:val="26"/>
          <w:szCs w:val="26"/>
        </w:rPr>
        <w:t xml:space="preserve">PET or </w:t>
      </w:r>
      <w:r w:rsidR="00225F17">
        <w:rPr>
          <w:rFonts w:eastAsia="標楷體" w:hint="eastAsia"/>
          <w:color w:val="000000" w:themeColor="text1"/>
          <w:sz w:val="26"/>
          <w:szCs w:val="26"/>
        </w:rPr>
        <w:t>endoscopy</w:t>
      </w:r>
      <w:r w:rsidRPr="008000A6">
        <w:rPr>
          <w:rFonts w:eastAsia="標楷體"/>
          <w:color w:val="000000" w:themeColor="text1"/>
          <w:sz w:val="26"/>
          <w:szCs w:val="26"/>
        </w:rPr>
        <w:t>可見腫瘤為主。</w:t>
      </w:r>
    </w:p>
    <w:p w:rsidR="0024589B" w:rsidRDefault="0024589B" w:rsidP="004F2BC4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50" w:lineRule="exact"/>
        <w:ind w:leftChars="0" w:left="211" w:hanging="211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BB3B13">
        <w:rPr>
          <w:rFonts w:eastAsia="標楷體"/>
          <w:color w:val="000000" w:themeColor="text1"/>
          <w:sz w:val="26"/>
          <w:szCs w:val="26"/>
        </w:rPr>
        <w:t>CTV-tumor</w:t>
      </w:r>
      <w:r w:rsidRPr="00BB3B13">
        <w:rPr>
          <w:rFonts w:eastAsia="標楷體"/>
          <w:color w:val="000000" w:themeColor="text1"/>
          <w:sz w:val="26"/>
          <w:szCs w:val="26"/>
        </w:rPr>
        <w:t>為</w:t>
      </w:r>
      <w:r w:rsidRPr="00BB3B13">
        <w:rPr>
          <w:rFonts w:eastAsia="標楷體"/>
          <w:color w:val="000000" w:themeColor="text1"/>
          <w:sz w:val="26"/>
          <w:szCs w:val="26"/>
        </w:rPr>
        <w:t xml:space="preserve">tumor + 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Pr="00BB3B13">
        <w:rPr>
          <w:rFonts w:eastAsia="標楷體"/>
          <w:color w:val="000000" w:themeColor="text1"/>
          <w:kern w:val="0"/>
          <w:sz w:val="26"/>
          <w:szCs w:val="26"/>
        </w:rPr>
        <w:t>-4 cm super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i</w:t>
      </w:r>
      <w:r>
        <w:rPr>
          <w:rFonts w:eastAsia="標楷體"/>
          <w:color w:val="000000" w:themeColor="text1"/>
          <w:kern w:val="0"/>
          <w:sz w:val="26"/>
          <w:szCs w:val="26"/>
        </w:rPr>
        <w:t xml:space="preserve">or and </w:t>
      </w:r>
      <w:r w:rsidRPr="00BB3B13">
        <w:rPr>
          <w:rFonts w:eastAsia="標楷體"/>
          <w:color w:val="000000" w:themeColor="text1"/>
          <w:kern w:val="0"/>
          <w:sz w:val="26"/>
          <w:szCs w:val="26"/>
        </w:rPr>
        <w:t>inferior margins and a 0.5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Pr="00BB3B13">
        <w:rPr>
          <w:rFonts w:eastAsia="標楷體"/>
          <w:color w:val="000000" w:themeColor="text1"/>
          <w:kern w:val="0"/>
          <w:sz w:val="26"/>
          <w:szCs w:val="26"/>
        </w:rPr>
        <w:t>1.0 cm lateral margin.</w:t>
      </w:r>
    </w:p>
    <w:p w:rsidR="0024589B" w:rsidRPr="00BB3B13" w:rsidRDefault="0024589B" w:rsidP="004F2BC4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50" w:lineRule="exact"/>
        <w:ind w:leftChars="0" w:left="211" w:hanging="211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BB3B13">
        <w:rPr>
          <w:rFonts w:eastAsia="標楷體"/>
          <w:color w:val="000000" w:themeColor="text1"/>
          <w:sz w:val="26"/>
          <w:szCs w:val="26"/>
        </w:rPr>
        <w:t xml:space="preserve">CTV-lymph node </w:t>
      </w:r>
      <w:r w:rsidRPr="00BB3B13">
        <w:rPr>
          <w:rFonts w:eastAsia="標楷體"/>
          <w:color w:val="000000" w:themeColor="text1"/>
          <w:sz w:val="26"/>
          <w:szCs w:val="26"/>
        </w:rPr>
        <w:t>包含潛在轉移區域，</w:t>
      </w:r>
      <w:r w:rsidRPr="00BB3B13">
        <w:rPr>
          <w:rFonts w:eastAsia="標楷體"/>
          <w:color w:val="000000" w:themeColor="text1"/>
          <w:sz w:val="26"/>
          <w:szCs w:val="26"/>
        </w:rPr>
        <w:t>involved nodal irradiation (preferred) or elective nodal irradiation</w:t>
      </w:r>
    </w:p>
    <w:p w:rsidR="0024589B" w:rsidRPr="00BB3B13" w:rsidRDefault="0024589B" w:rsidP="004F2BC4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50" w:lineRule="exact"/>
        <w:ind w:leftChars="0" w:left="211" w:hanging="211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BB3B13">
        <w:rPr>
          <w:rFonts w:eastAsia="標楷體"/>
          <w:color w:val="000000" w:themeColor="text1"/>
          <w:sz w:val="26"/>
          <w:szCs w:val="26"/>
        </w:rPr>
        <w:t>PTV</w:t>
      </w:r>
      <w:r w:rsidRPr="00BB3B13">
        <w:rPr>
          <w:rFonts w:eastAsia="標楷體"/>
          <w:color w:val="000000" w:themeColor="text1"/>
          <w:sz w:val="26"/>
          <w:szCs w:val="26"/>
        </w:rPr>
        <w:t>包含呼吸移動及擺位誤差。可適當搭配</w:t>
      </w:r>
      <w:r w:rsidRPr="00BB3B13">
        <w:rPr>
          <w:rFonts w:eastAsia="標楷體"/>
          <w:color w:val="000000" w:themeColor="text1"/>
          <w:sz w:val="26"/>
          <w:szCs w:val="26"/>
        </w:rPr>
        <w:t>slow CT or 4D CT (with/without breath holding or gating)</w:t>
      </w:r>
      <w:r w:rsidRPr="00BB3B13">
        <w:rPr>
          <w:rFonts w:eastAsia="標楷體"/>
          <w:color w:val="000000" w:themeColor="text1"/>
          <w:sz w:val="26"/>
          <w:szCs w:val="26"/>
        </w:rPr>
        <w:t>來決定</w:t>
      </w:r>
      <w:r w:rsidRPr="00BB3B13">
        <w:rPr>
          <w:rFonts w:eastAsia="標楷體"/>
          <w:color w:val="000000" w:themeColor="text1"/>
          <w:sz w:val="26"/>
          <w:szCs w:val="26"/>
        </w:rPr>
        <w:t>ITV (internal target volume)</w:t>
      </w:r>
      <w:r w:rsidRPr="00BB3B13">
        <w:rPr>
          <w:rFonts w:eastAsia="標楷體"/>
          <w:color w:val="000000" w:themeColor="text1"/>
          <w:sz w:val="26"/>
          <w:szCs w:val="26"/>
        </w:rPr>
        <w:t>。通常為</w:t>
      </w:r>
      <w:r w:rsidRPr="00BB3B13">
        <w:rPr>
          <w:rFonts w:eastAsia="標楷體"/>
          <w:color w:val="000000" w:themeColor="text1"/>
          <w:sz w:val="26"/>
          <w:szCs w:val="26"/>
        </w:rPr>
        <w:t xml:space="preserve"> CTV + 0.5-1.0 cm</w:t>
      </w:r>
      <w:r w:rsidRPr="00BB3B13">
        <w:rPr>
          <w:rFonts w:eastAsia="標楷體"/>
          <w:color w:val="000000" w:themeColor="text1"/>
          <w:sz w:val="26"/>
          <w:szCs w:val="26"/>
        </w:rPr>
        <w:t>。</w:t>
      </w:r>
    </w:p>
    <w:p w:rsidR="0024589B" w:rsidRPr="00BB3B13" w:rsidRDefault="0024589B" w:rsidP="004F2BC4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50" w:lineRule="exact"/>
        <w:ind w:leftChars="0" w:left="211" w:hanging="211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BB3B13">
        <w:rPr>
          <w:rFonts w:eastAsia="標楷體"/>
          <w:color w:val="000000" w:themeColor="text1"/>
          <w:sz w:val="26"/>
          <w:szCs w:val="26"/>
        </w:rPr>
        <w:t>Involved nodal irradiation</w:t>
      </w:r>
      <w:r w:rsidRPr="00BB3B13">
        <w:rPr>
          <w:rFonts w:eastAsia="標楷體"/>
          <w:color w:val="000000" w:themeColor="text1"/>
          <w:sz w:val="26"/>
          <w:szCs w:val="26"/>
        </w:rPr>
        <w:t>：</w:t>
      </w:r>
      <w:r w:rsidRPr="00BB3B13">
        <w:rPr>
          <w:rFonts w:eastAsia="標楷體"/>
          <w:color w:val="000000" w:themeColor="text1"/>
          <w:sz w:val="26"/>
          <w:szCs w:val="26"/>
        </w:rPr>
        <w:t>Lymph node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+ </w:t>
      </w:r>
      <w:r w:rsidRPr="00BB3B13">
        <w:rPr>
          <w:rFonts w:eastAsia="標楷體"/>
          <w:color w:val="000000" w:themeColor="text1"/>
          <w:sz w:val="26"/>
          <w:szCs w:val="26"/>
        </w:rPr>
        <w:t>0.5</w:t>
      </w:r>
      <w:r>
        <w:rPr>
          <w:rFonts w:eastAsia="標楷體" w:hint="eastAsia"/>
          <w:color w:val="000000" w:themeColor="text1"/>
          <w:sz w:val="26"/>
          <w:szCs w:val="26"/>
        </w:rPr>
        <w:t>-</w:t>
      </w:r>
      <w:r w:rsidRPr="00BB3B13">
        <w:rPr>
          <w:rFonts w:eastAsia="標楷體"/>
          <w:color w:val="000000" w:themeColor="text1"/>
          <w:sz w:val="26"/>
          <w:szCs w:val="26"/>
        </w:rPr>
        <w:t>1.5 cm margins</w:t>
      </w:r>
    </w:p>
    <w:p w:rsidR="0024589B" w:rsidRPr="00BB3B13" w:rsidRDefault="0024589B" w:rsidP="004F2BC4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350" w:lineRule="exact"/>
        <w:ind w:leftChars="0" w:left="211" w:hanging="211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BB3B13">
        <w:rPr>
          <w:rFonts w:eastAsia="標楷體"/>
          <w:color w:val="000000" w:themeColor="text1"/>
          <w:sz w:val="26"/>
          <w:szCs w:val="26"/>
        </w:rPr>
        <w:t>Elective nodal irradiation</w:t>
      </w:r>
      <w:r w:rsidRPr="00BB3B13">
        <w:rPr>
          <w:rFonts w:eastAsia="標楷體"/>
          <w:color w:val="000000" w:themeColor="text1"/>
          <w:sz w:val="26"/>
          <w:szCs w:val="26"/>
        </w:rPr>
        <w:t>：</w:t>
      </w:r>
    </w:p>
    <w:p w:rsidR="0024589B" w:rsidRPr="00D066A0" w:rsidRDefault="00225F17" w:rsidP="004F2BC4">
      <w:pPr>
        <w:pStyle w:val="ab"/>
        <w:numPr>
          <w:ilvl w:val="0"/>
          <w:numId w:val="4"/>
        </w:numPr>
        <w:spacing w:line="35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24589B" w:rsidRPr="00D066A0">
        <w:rPr>
          <w:rFonts w:eastAsia="標楷體"/>
          <w:color w:val="000000" w:themeColor="text1"/>
          <w:sz w:val="26"/>
          <w:szCs w:val="26"/>
        </w:rPr>
        <w:t>Cervical esophagus</w:t>
      </w:r>
      <w:r w:rsidR="0024589B" w:rsidRPr="00D066A0">
        <w:rPr>
          <w:rFonts w:eastAsia="標楷體"/>
          <w:color w:val="000000" w:themeColor="text1"/>
          <w:sz w:val="26"/>
          <w:szCs w:val="26"/>
        </w:rPr>
        <w:t>：</w:t>
      </w:r>
      <w:r w:rsidR="0024589B" w:rsidRPr="00D066A0">
        <w:rPr>
          <w:rFonts w:eastAsia="標楷體"/>
          <w:color w:val="000000" w:themeColor="text1"/>
          <w:sz w:val="26"/>
          <w:szCs w:val="26"/>
        </w:rPr>
        <w:t>para-esophageal LNs</w:t>
      </w:r>
      <w:r w:rsidR="0024589B">
        <w:rPr>
          <w:rFonts w:eastAsia="標楷體" w:hint="eastAsia"/>
          <w:color w:val="000000" w:themeColor="text1"/>
          <w:sz w:val="26"/>
          <w:szCs w:val="26"/>
        </w:rPr>
        <w:t xml:space="preserve"> + </w:t>
      </w:r>
      <w:r w:rsidR="0024589B" w:rsidRPr="00D066A0">
        <w:rPr>
          <w:rFonts w:eastAsia="標楷體"/>
          <w:color w:val="000000" w:themeColor="text1"/>
          <w:sz w:val="26"/>
          <w:szCs w:val="26"/>
        </w:rPr>
        <w:t>SCF LNs + higher echelon neck LNs</w:t>
      </w:r>
    </w:p>
    <w:p w:rsidR="0024589B" w:rsidRPr="00D066A0" w:rsidRDefault="00225F17" w:rsidP="004F2BC4">
      <w:pPr>
        <w:pStyle w:val="ab"/>
        <w:numPr>
          <w:ilvl w:val="0"/>
          <w:numId w:val="4"/>
        </w:numPr>
        <w:tabs>
          <w:tab w:val="left" w:pos="540"/>
          <w:tab w:val="left" w:pos="567"/>
          <w:tab w:val="left" w:pos="709"/>
        </w:tabs>
        <w:spacing w:line="35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24589B" w:rsidRPr="00D066A0">
        <w:rPr>
          <w:rFonts w:eastAsia="標楷體"/>
          <w:color w:val="000000" w:themeColor="text1"/>
          <w:sz w:val="26"/>
          <w:szCs w:val="26"/>
        </w:rPr>
        <w:t>Upper third esophagus</w:t>
      </w:r>
      <w:r w:rsidR="0024589B" w:rsidRPr="00D066A0">
        <w:rPr>
          <w:rFonts w:eastAsia="標楷體"/>
          <w:color w:val="000000" w:themeColor="text1"/>
          <w:sz w:val="26"/>
          <w:szCs w:val="26"/>
        </w:rPr>
        <w:t>：</w:t>
      </w:r>
      <w:r w:rsidR="0024589B" w:rsidRPr="00D066A0">
        <w:rPr>
          <w:rFonts w:eastAsia="標楷體"/>
          <w:color w:val="000000" w:themeColor="text1"/>
          <w:sz w:val="26"/>
          <w:szCs w:val="26"/>
        </w:rPr>
        <w:t>para-esophageal LNs + SCF LNs</w:t>
      </w:r>
    </w:p>
    <w:p w:rsidR="0024589B" w:rsidRPr="00D066A0" w:rsidRDefault="0024589B" w:rsidP="004F2BC4">
      <w:pPr>
        <w:pStyle w:val="ab"/>
        <w:numPr>
          <w:ilvl w:val="0"/>
          <w:numId w:val="4"/>
        </w:numPr>
        <w:tabs>
          <w:tab w:val="left" w:pos="540"/>
          <w:tab w:val="left" w:pos="567"/>
          <w:tab w:val="left" w:pos="709"/>
        </w:tabs>
        <w:spacing w:line="35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Middle third esophagus</w:t>
      </w:r>
      <w:r w:rsidRPr="00D066A0">
        <w:rPr>
          <w:rFonts w:eastAsia="標楷體"/>
          <w:color w:val="000000" w:themeColor="text1"/>
          <w:sz w:val="26"/>
          <w:szCs w:val="26"/>
        </w:rPr>
        <w:t>：</w:t>
      </w:r>
      <w:r w:rsidRPr="00D066A0">
        <w:rPr>
          <w:rFonts w:eastAsia="標楷體"/>
          <w:color w:val="000000" w:themeColor="text1"/>
          <w:sz w:val="26"/>
          <w:szCs w:val="26"/>
        </w:rPr>
        <w:t>para-esophageal LNs</w:t>
      </w:r>
    </w:p>
    <w:p w:rsidR="0024589B" w:rsidRDefault="0024589B" w:rsidP="004F2BC4">
      <w:pPr>
        <w:pStyle w:val="ab"/>
        <w:numPr>
          <w:ilvl w:val="0"/>
          <w:numId w:val="4"/>
        </w:numPr>
        <w:tabs>
          <w:tab w:val="left" w:pos="540"/>
          <w:tab w:val="left" w:pos="567"/>
          <w:tab w:val="left" w:pos="709"/>
        </w:tabs>
        <w:spacing w:line="35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  <w:sectPr w:rsidR="0024589B" w:rsidSect="00D066A0">
          <w:pgSz w:w="16838" w:h="11906" w:orient="landscape"/>
          <w:pgMar w:top="720" w:right="720" w:bottom="720" w:left="720" w:header="567" w:footer="567" w:gutter="0"/>
          <w:cols w:space="425"/>
          <w:titlePg/>
          <w:docGrid w:type="lines" w:linePitch="360"/>
        </w:sectPr>
      </w:pPr>
      <w:r w:rsidRPr="00D066A0">
        <w:rPr>
          <w:rFonts w:eastAsia="標楷體"/>
          <w:color w:val="000000" w:themeColor="text1"/>
          <w:sz w:val="26"/>
          <w:szCs w:val="26"/>
        </w:rPr>
        <w:t>Lower third esophagus</w:t>
      </w:r>
      <w:r w:rsidRPr="00D066A0">
        <w:rPr>
          <w:rFonts w:eastAsia="標楷體"/>
          <w:color w:val="000000" w:themeColor="text1"/>
          <w:sz w:val="26"/>
          <w:szCs w:val="26"/>
        </w:rPr>
        <w:t>：</w:t>
      </w:r>
      <w:r w:rsidRPr="00D066A0">
        <w:rPr>
          <w:rFonts w:eastAsia="標楷體"/>
          <w:color w:val="000000" w:themeColor="text1"/>
          <w:sz w:val="26"/>
          <w:szCs w:val="26"/>
        </w:rPr>
        <w:t>para-esophageal LNs + lesser curvature LN + celiac axis</w:t>
      </w:r>
      <w:r>
        <w:rPr>
          <w:rFonts w:eastAsia="標楷體"/>
          <w:color w:val="000000" w:themeColor="text1"/>
          <w:sz w:val="26"/>
          <w:szCs w:val="26"/>
        </w:rPr>
        <w:t xml:space="preserve"> LN</w:t>
      </w:r>
    </w:p>
    <w:p w:rsidR="0024589B" w:rsidRPr="008000A6" w:rsidRDefault="0024589B" w:rsidP="004F2BC4">
      <w:pPr>
        <w:pStyle w:val="ab"/>
        <w:numPr>
          <w:ilvl w:val="0"/>
          <w:numId w:val="10"/>
        </w:numPr>
        <w:tabs>
          <w:tab w:val="left" w:pos="540"/>
          <w:tab w:val="left" w:pos="567"/>
          <w:tab w:val="left" w:pos="709"/>
        </w:tabs>
        <w:autoSpaceDE w:val="0"/>
        <w:autoSpaceDN w:val="0"/>
        <w:adjustRightInd w:val="0"/>
        <w:spacing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8000A6">
        <w:rPr>
          <w:rFonts w:eastAsia="標楷體"/>
          <w:color w:val="000000" w:themeColor="text1"/>
          <w:sz w:val="26"/>
          <w:szCs w:val="26"/>
        </w:rPr>
        <w:lastRenderedPageBreak/>
        <w:t>Adjuvant RT</w:t>
      </w:r>
      <w:r w:rsidRPr="008000A6">
        <w:rPr>
          <w:rFonts w:eastAsia="標楷體"/>
          <w:color w:val="000000" w:themeColor="text1"/>
          <w:sz w:val="26"/>
          <w:szCs w:val="26"/>
        </w:rPr>
        <w:t>：</w:t>
      </w:r>
      <w:r w:rsidRPr="008000A6">
        <w:rPr>
          <w:rFonts w:eastAsia="標楷體"/>
          <w:color w:val="000000" w:themeColor="text1"/>
          <w:sz w:val="26"/>
          <w:szCs w:val="26"/>
        </w:rPr>
        <w:t>CTV</w:t>
      </w:r>
      <w:r w:rsidRPr="008000A6">
        <w:rPr>
          <w:rFonts w:eastAsia="標楷體"/>
          <w:color w:val="000000" w:themeColor="text1"/>
          <w:sz w:val="26"/>
          <w:szCs w:val="26"/>
        </w:rPr>
        <w:t>以食道</w:t>
      </w:r>
      <w:r w:rsidRPr="008000A6">
        <w:rPr>
          <w:rFonts w:eastAsia="標楷體"/>
          <w:color w:val="000000" w:themeColor="text1"/>
          <w:sz w:val="26"/>
          <w:szCs w:val="26"/>
        </w:rPr>
        <w:t>tumor and LAP bed &amp; high risk lymphatic region (anastomosis</w:t>
      </w:r>
      <w:r w:rsidRPr="008000A6">
        <w:rPr>
          <w:rFonts w:eastAsia="標楷體"/>
          <w:color w:val="000000" w:themeColor="text1"/>
          <w:sz w:val="26"/>
          <w:szCs w:val="26"/>
        </w:rPr>
        <w:t>：</w:t>
      </w:r>
      <w:r w:rsidRPr="008000A6">
        <w:rPr>
          <w:rFonts w:eastAsia="標楷體"/>
          <w:color w:val="000000" w:themeColor="text1"/>
          <w:sz w:val="26"/>
          <w:szCs w:val="26"/>
        </w:rPr>
        <w:t>option)</w:t>
      </w:r>
      <w:r w:rsidRPr="008000A6">
        <w:rPr>
          <w:rFonts w:eastAsia="標楷體"/>
          <w:color w:val="000000" w:themeColor="text1"/>
          <w:sz w:val="26"/>
          <w:szCs w:val="26"/>
        </w:rPr>
        <w:t>，或疑有殘存腫瘤處為主。</w:t>
      </w:r>
    </w:p>
    <w:p w:rsidR="0024589B" w:rsidRPr="00BB3B13" w:rsidRDefault="0024589B" w:rsidP="004F2BC4">
      <w:pPr>
        <w:pStyle w:val="ab"/>
        <w:numPr>
          <w:ilvl w:val="0"/>
          <w:numId w:val="10"/>
        </w:numPr>
        <w:spacing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BB3B13">
        <w:rPr>
          <w:rFonts w:eastAsia="標楷體"/>
          <w:bCs/>
          <w:color w:val="000000" w:themeColor="text1"/>
          <w:sz w:val="26"/>
          <w:szCs w:val="26"/>
        </w:rPr>
        <w:t>At least 95 % PTV is covered by 95% prescribed dose</w:t>
      </w:r>
      <w:r w:rsidRPr="00BB3B13">
        <w:rPr>
          <w:rFonts w:eastAsia="標楷體"/>
          <w:bCs/>
          <w:color w:val="000000" w:themeColor="text1"/>
          <w:sz w:val="26"/>
          <w:szCs w:val="26"/>
        </w:rPr>
        <w:t>；</w:t>
      </w:r>
      <w:r w:rsidRPr="00BB3B13">
        <w:rPr>
          <w:rFonts w:eastAsia="標楷體"/>
          <w:bCs/>
          <w:color w:val="000000" w:themeColor="text1"/>
          <w:sz w:val="26"/>
          <w:szCs w:val="26"/>
        </w:rPr>
        <w:t>no more 1% PTV received 110% prescribed dose</w:t>
      </w:r>
    </w:p>
    <w:p w:rsidR="0024589B" w:rsidRPr="00D066A0" w:rsidRDefault="0024589B" w:rsidP="004F2BC4">
      <w:pPr>
        <w:pStyle w:val="ab"/>
        <w:numPr>
          <w:ilvl w:val="0"/>
          <w:numId w:val="8"/>
        </w:numPr>
        <w:spacing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放療劑量：</w:t>
      </w:r>
      <w:r w:rsidRPr="00D066A0">
        <w:rPr>
          <w:rFonts w:eastAsia="標楷體"/>
          <w:color w:val="000000" w:themeColor="text1"/>
          <w:sz w:val="26"/>
          <w:szCs w:val="26"/>
        </w:rPr>
        <w:t>Definitive</w:t>
      </w:r>
      <w:r w:rsidRPr="00D066A0">
        <w:rPr>
          <w:rFonts w:eastAsia="標楷體"/>
          <w:color w:val="000000" w:themeColor="text1"/>
          <w:sz w:val="26"/>
          <w:szCs w:val="26"/>
        </w:rPr>
        <w:t>治療</w:t>
      </w:r>
      <w:r>
        <w:rPr>
          <w:rFonts w:eastAsia="標楷體"/>
          <w:color w:val="000000" w:themeColor="text1"/>
          <w:sz w:val="26"/>
          <w:szCs w:val="26"/>
        </w:rPr>
        <w:t>5</w:t>
      </w:r>
      <w:r>
        <w:rPr>
          <w:rFonts w:eastAsia="標楷體" w:hint="eastAsia"/>
          <w:color w:val="000000" w:themeColor="text1"/>
          <w:sz w:val="26"/>
          <w:szCs w:val="26"/>
        </w:rPr>
        <w:t>0</w:t>
      </w:r>
      <w:r>
        <w:rPr>
          <w:rFonts w:eastAsia="標楷體"/>
          <w:color w:val="000000" w:themeColor="text1"/>
          <w:sz w:val="26"/>
          <w:szCs w:val="26"/>
        </w:rPr>
        <w:t>-</w:t>
      </w:r>
      <w:r w:rsidR="00914E05">
        <w:rPr>
          <w:rFonts w:eastAsia="標楷體" w:hint="eastAsia"/>
          <w:color w:val="000000" w:themeColor="text1"/>
          <w:sz w:val="26"/>
          <w:szCs w:val="26"/>
        </w:rPr>
        <w:t>50.4</w:t>
      </w:r>
      <w:r w:rsidRPr="00D066A0">
        <w:rPr>
          <w:rFonts w:eastAsia="標楷體"/>
          <w:color w:val="000000" w:themeColor="text1"/>
          <w:sz w:val="26"/>
          <w:szCs w:val="26"/>
        </w:rPr>
        <w:t xml:space="preserve"> Gy(1.8–2 Gy/Fx)</w:t>
      </w:r>
      <w:r w:rsidRPr="00D066A0">
        <w:rPr>
          <w:rFonts w:eastAsia="標楷體"/>
          <w:color w:val="000000" w:themeColor="text1"/>
          <w:sz w:val="26"/>
          <w:szCs w:val="26"/>
        </w:rPr>
        <w:t>。</w:t>
      </w:r>
      <w:r w:rsidRPr="00D066A0">
        <w:rPr>
          <w:rFonts w:eastAsia="標楷體"/>
          <w:color w:val="000000" w:themeColor="text1"/>
          <w:sz w:val="26"/>
          <w:szCs w:val="26"/>
        </w:rPr>
        <w:t>Neoadjuvant</w:t>
      </w:r>
      <w:r w:rsidRPr="00D066A0">
        <w:rPr>
          <w:rFonts w:eastAsia="標楷體"/>
          <w:color w:val="000000" w:themeColor="text1"/>
          <w:sz w:val="26"/>
          <w:szCs w:val="26"/>
        </w:rPr>
        <w:t>治療</w:t>
      </w:r>
      <w:r w:rsidRPr="00D066A0">
        <w:rPr>
          <w:rFonts w:eastAsia="標楷體"/>
          <w:color w:val="000000" w:themeColor="text1"/>
          <w:sz w:val="26"/>
          <w:szCs w:val="26"/>
        </w:rPr>
        <w:t>41.4-50.4 Gy (1.8–2 Gy/Fx)</w:t>
      </w:r>
      <w:r w:rsidRPr="00D066A0">
        <w:rPr>
          <w:rFonts w:eastAsia="標楷體"/>
          <w:color w:val="000000" w:themeColor="text1"/>
          <w:sz w:val="26"/>
          <w:szCs w:val="26"/>
        </w:rPr>
        <w:t>。</w:t>
      </w:r>
      <w:r w:rsidRPr="00D066A0">
        <w:rPr>
          <w:rFonts w:eastAsia="標楷體"/>
          <w:color w:val="000000" w:themeColor="text1"/>
          <w:sz w:val="26"/>
          <w:szCs w:val="26"/>
        </w:rPr>
        <w:t>Adjuvant</w:t>
      </w:r>
      <w:r w:rsidRPr="00D066A0">
        <w:rPr>
          <w:rFonts w:eastAsia="標楷體"/>
          <w:color w:val="000000" w:themeColor="text1"/>
          <w:sz w:val="26"/>
          <w:szCs w:val="26"/>
        </w:rPr>
        <w:t>治療</w:t>
      </w:r>
      <w:r w:rsidRPr="00D066A0">
        <w:rPr>
          <w:rFonts w:eastAsia="標楷體"/>
          <w:color w:val="000000" w:themeColor="text1"/>
          <w:sz w:val="26"/>
          <w:szCs w:val="26"/>
        </w:rPr>
        <w:t>45-5</w:t>
      </w:r>
      <w:r w:rsidR="00914E05">
        <w:rPr>
          <w:rFonts w:eastAsia="標楷體" w:hint="eastAsia"/>
          <w:color w:val="000000" w:themeColor="text1"/>
          <w:sz w:val="26"/>
          <w:szCs w:val="26"/>
        </w:rPr>
        <w:t>0.</w:t>
      </w:r>
      <w:r w:rsidRPr="00D066A0">
        <w:rPr>
          <w:rFonts w:eastAsia="標楷體"/>
          <w:color w:val="000000" w:themeColor="text1"/>
          <w:sz w:val="26"/>
          <w:szCs w:val="26"/>
        </w:rPr>
        <w:t>4 Gy (1.8–2 Gy/Fx)</w:t>
      </w:r>
      <w:r w:rsidRPr="00D066A0">
        <w:rPr>
          <w:rFonts w:eastAsia="標楷體"/>
          <w:color w:val="000000" w:themeColor="text1"/>
          <w:sz w:val="26"/>
          <w:szCs w:val="26"/>
        </w:rPr>
        <w:t>。</w:t>
      </w:r>
      <w:r w:rsidRPr="00D066A0">
        <w:rPr>
          <w:rFonts w:eastAsia="標楷體"/>
          <w:color w:val="000000" w:themeColor="text1"/>
          <w:sz w:val="26"/>
          <w:szCs w:val="26"/>
        </w:rPr>
        <w:t>*</w:t>
      </w:r>
      <w:r w:rsidRPr="00D066A0">
        <w:rPr>
          <w:rFonts w:eastAsia="標楷體"/>
          <w:color w:val="000000" w:themeColor="text1"/>
          <w:sz w:val="26"/>
          <w:szCs w:val="26"/>
        </w:rPr>
        <w:t>以上劑量依照</w:t>
      </w:r>
      <w:r w:rsidRPr="00D066A0">
        <w:rPr>
          <w:rFonts w:eastAsia="標楷體"/>
          <w:color w:val="000000" w:themeColor="text1"/>
          <w:sz w:val="26"/>
          <w:szCs w:val="26"/>
        </w:rPr>
        <w:t>performance status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risk factors (margin close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margin positive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ENE</w:t>
      </w:r>
      <w:r w:rsidRPr="00D066A0">
        <w:rPr>
          <w:rFonts w:eastAsia="標楷體"/>
          <w:color w:val="000000" w:themeColor="text1"/>
          <w:sz w:val="26"/>
          <w:szCs w:val="26"/>
        </w:rPr>
        <w:t>及正常組織耐受劑量</w:t>
      </w:r>
      <w:r w:rsidRPr="00D066A0">
        <w:rPr>
          <w:rFonts w:eastAsia="標楷體"/>
          <w:color w:val="000000" w:themeColor="text1"/>
          <w:sz w:val="26"/>
          <w:szCs w:val="26"/>
        </w:rPr>
        <w:t>(Lung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spinal cord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stomach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bowel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>liver</w:t>
      </w:r>
      <w:r w:rsidRPr="00D066A0">
        <w:rPr>
          <w:rFonts w:eastAsia="標楷體"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color w:val="000000" w:themeColor="text1"/>
          <w:sz w:val="26"/>
          <w:szCs w:val="26"/>
        </w:rPr>
        <w:t xml:space="preserve">heart) </w:t>
      </w:r>
      <w:r w:rsidRPr="00D066A0">
        <w:rPr>
          <w:rFonts w:eastAsia="標楷體"/>
          <w:color w:val="000000" w:themeColor="text1"/>
          <w:sz w:val="26"/>
          <w:szCs w:val="26"/>
        </w:rPr>
        <w:t>可予以調整。頸部段食道癌不接受手術時，可</w:t>
      </w:r>
      <w:r w:rsidR="00914E05">
        <w:rPr>
          <w:rFonts w:eastAsia="標楷體" w:hint="eastAsia"/>
          <w:color w:val="000000" w:themeColor="text1"/>
          <w:sz w:val="26"/>
          <w:szCs w:val="26"/>
        </w:rPr>
        <w:t>考慮</w:t>
      </w:r>
      <w:r w:rsidRPr="00D066A0">
        <w:rPr>
          <w:rFonts w:eastAsia="標楷體"/>
          <w:color w:val="000000" w:themeColor="text1"/>
          <w:sz w:val="26"/>
          <w:szCs w:val="26"/>
        </w:rPr>
        <w:t>使用較高放射劑量</w:t>
      </w:r>
      <w:r w:rsidRPr="00D066A0">
        <w:rPr>
          <w:rFonts w:eastAsia="標楷體" w:hint="eastAsia"/>
          <w:color w:val="000000" w:themeColor="text1"/>
          <w:sz w:val="26"/>
          <w:szCs w:val="26"/>
        </w:rPr>
        <w:t>(</w:t>
      </w:r>
      <w:r w:rsidRPr="00D066A0">
        <w:rPr>
          <w:rFonts w:eastAsia="標楷體" w:hint="eastAsia"/>
          <w:color w:val="000000" w:themeColor="text1"/>
          <w:sz w:val="26"/>
          <w:szCs w:val="26"/>
        </w:rPr>
        <w:t>≦</w:t>
      </w:r>
      <w:r w:rsidR="00914E05">
        <w:rPr>
          <w:rFonts w:eastAsia="標楷體" w:hint="eastAsia"/>
          <w:color w:val="000000" w:themeColor="text1"/>
          <w:sz w:val="26"/>
          <w:szCs w:val="26"/>
        </w:rPr>
        <w:t>63</w:t>
      </w:r>
      <w:r w:rsidRPr="00D066A0">
        <w:rPr>
          <w:rFonts w:eastAsia="標楷體"/>
          <w:color w:val="000000" w:themeColor="text1"/>
          <w:sz w:val="26"/>
          <w:szCs w:val="26"/>
        </w:rPr>
        <w:t xml:space="preserve"> Gy</w:t>
      </w:r>
      <w:r w:rsidRPr="00D066A0">
        <w:rPr>
          <w:rFonts w:eastAsia="標楷體" w:hint="eastAsia"/>
          <w:color w:val="000000" w:themeColor="text1"/>
          <w:sz w:val="26"/>
          <w:szCs w:val="26"/>
        </w:rPr>
        <w:t>)</w:t>
      </w:r>
      <w:r w:rsidRPr="00D066A0">
        <w:rPr>
          <w:rFonts w:eastAsia="標楷體"/>
          <w:color w:val="000000" w:themeColor="text1"/>
          <w:sz w:val="26"/>
          <w:szCs w:val="26"/>
        </w:rPr>
        <w:t>。若病情需要更高劑量，需於本科或團隊會議討論。</w:t>
      </w:r>
    </w:p>
    <w:p w:rsidR="0024589B" w:rsidRDefault="0024589B" w:rsidP="004F2BC4">
      <w:pPr>
        <w:pStyle w:val="ab"/>
        <w:numPr>
          <w:ilvl w:val="0"/>
          <w:numId w:val="8"/>
        </w:numPr>
        <w:tabs>
          <w:tab w:val="left" w:pos="540"/>
          <w:tab w:val="left" w:pos="567"/>
          <w:tab w:val="left" w:pos="709"/>
        </w:tabs>
        <w:spacing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體外放射治療技術建議</w:t>
      </w:r>
      <w:r w:rsidRPr="00D066A0">
        <w:rPr>
          <w:rFonts w:eastAsia="標楷體"/>
          <w:color w:val="000000" w:themeColor="text1"/>
          <w:sz w:val="26"/>
          <w:szCs w:val="26"/>
        </w:rPr>
        <w:t>3DCRT</w:t>
      </w:r>
      <w:r w:rsidRPr="00D066A0">
        <w:rPr>
          <w:rFonts w:eastAsia="標楷體"/>
          <w:color w:val="000000" w:themeColor="text1"/>
          <w:sz w:val="26"/>
          <w:szCs w:val="26"/>
        </w:rPr>
        <w:t>或</w:t>
      </w:r>
      <w:r>
        <w:rPr>
          <w:rFonts w:eastAsia="標楷體"/>
          <w:color w:val="000000" w:themeColor="text1"/>
          <w:sz w:val="26"/>
          <w:szCs w:val="26"/>
        </w:rPr>
        <w:t>IMRT</w:t>
      </w:r>
      <w:r w:rsidRPr="00D066A0">
        <w:rPr>
          <w:rFonts w:eastAsia="標楷體"/>
          <w:color w:val="000000" w:themeColor="text1"/>
          <w:sz w:val="26"/>
          <w:szCs w:val="26"/>
        </w:rPr>
        <w:t>。</w:t>
      </w:r>
    </w:p>
    <w:p w:rsidR="0024589B" w:rsidRPr="00DB7798" w:rsidRDefault="0024589B" w:rsidP="004F2BC4">
      <w:pPr>
        <w:pStyle w:val="ab"/>
        <w:numPr>
          <w:ilvl w:val="0"/>
          <w:numId w:val="8"/>
        </w:numPr>
        <w:tabs>
          <w:tab w:val="left" w:pos="540"/>
          <w:tab w:val="left" w:pos="567"/>
          <w:tab w:val="left" w:pos="709"/>
        </w:tabs>
        <w:spacing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B7798">
        <w:rPr>
          <w:rFonts w:eastAsia="標楷體"/>
          <w:color w:val="000000" w:themeColor="text1"/>
          <w:sz w:val="26"/>
          <w:szCs w:val="26"/>
        </w:rPr>
        <w:t>劑量評估參數：至少包括肺部劑量</w:t>
      </w:r>
      <w:r w:rsidRPr="00DB7798">
        <w:rPr>
          <w:rFonts w:eastAsia="標楷體"/>
          <w:color w:val="000000" w:themeColor="text1"/>
          <w:sz w:val="26"/>
          <w:szCs w:val="26"/>
        </w:rPr>
        <w:t>(</w:t>
      </w:r>
      <w:r w:rsidRPr="00DB7798">
        <w:rPr>
          <w:rFonts w:eastAsia="標楷體"/>
          <w:color w:val="000000" w:themeColor="text1"/>
          <w:sz w:val="26"/>
          <w:szCs w:val="26"/>
        </w:rPr>
        <w:t>以</w:t>
      </w:r>
      <w:r w:rsidRPr="00DB7798">
        <w:rPr>
          <w:rFonts w:eastAsia="標楷體"/>
          <w:color w:val="000000" w:themeColor="text1"/>
          <w:sz w:val="26"/>
          <w:szCs w:val="26"/>
        </w:rPr>
        <w:t>V20</w:t>
      </w:r>
      <w:r w:rsidRPr="00DB7798">
        <w:rPr>
          <w:rFonts w:eastAsia="標楷體"/>
          <w:color w:val="000000" w:themeColor="text1"/>
          <w:sz w:val="26"/>
          <w:szCs w:val="26"/>
        </w:rPr>
        <w:t>，</w:t>
      </w:r>
      <w:r w:rsidRPr="00DB7798">
        <w:rPr>
          <w:rFonts w:eastAsia="標楷體"/>
          <w:color w:val="000000" w:themeColor="text1"/>
          <w:sz w:val="26"/>
          <w:szCs w:val="26"/>
        </w:rPr>
        <w:t>mean lung dose</w:t>
      </w:r>
      <w:r w:rsidRPr="00DB7798">
        <w:rPr>
          <w:rFonts w:eastAsia="標楷體"/>
          <w:color w:val="000000" w:themeColor="text1"/>
          <w:sz w:val="26"/>
          <w:szCs w:val="26"/>
        </w:rPr>
        <w:t>等</w:t>
      </w:r>
      <w:r w:rsidRPr="00DB7798">
        <w:rPr>
          <w:rFonts w:eastAsia="標楷體"/>
          <w:color w:val="000000" w:themeColor="text1"/>
          <w:sz w:val="26"/>
          <w:szCs w:val="26"/>
        </w:rPr>
        <w:t>)</w:t>
      </w:r>
      <w:r w:rsidRPr="00DB7798">
        <w:rPr>
          <w:rFonts w:eastAsia="標楷體"/>
          <w:color w:val="000000" w:themeColor="text1"/>
          <w:sz w:val="26"/>
          <w:szCs w:val="26"/>
        </w:rPr>
        <w:t>、心臟、脊髓劑量等。</w:t>
      </w:r>
    </w:p>
    <w:p w:rsidR="0024589B" w:rsidRPr="00D066A0" w:rsidRDefault="0024589B" w:rsidP="00914E05">
      <w:pPr>
        <w:pStyle w:val="ab"/>
        <w:numPr>
          <w:ilvl w:val="0"/>
          <w:numId w:val="8"/>
        </w:numPr>
        <w:tabs>
          <w:tab w:val="left" w:pos="540"/>
          <w:tab w:val="left" w:pos="567"/>
          <w:tab w:val="left" w:pos="709"/>
        </w:tabs>
        <w:spacing w:afterLines="50"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建議使用</w:t>
      </w:r>
      <w:r w:rsidRPr="00D066A0">
        <w:rPr>
          <w:rFonts w:eastAsia="標楷體"/>
          <w:color w:val="000000" w:themeColor="text1"/>
          <w:sz w:val="26"/>
          <w:szCs w:val="26"/>
        </w:rPr>
        <w:t>6-10 MV x-ray with heterogeneity correction</w:t>
      </w:r>
      <w:r w:rsidRPr="00D066A0">
        <w:rPr>
          <w:rFonts w:eastAsia="標楷體"/>
          <w:color w:val="000000" w:themeColor="text1"/>
          <w:sz w:val="26"/>
          <w:szCs w:val="26"/>
        </w:rPr>
        <w:t>。</w:t>
      </w:r>
    </w:p>
    <w:p w:rsidR="0024589B" w:rsidRPr="00D066A0" w:rsidRDefault="0024589B" w:rsidP="00914E05">
      <w:pPr>
        <w:pStyle w:val="ab"/>
        <w:numPr>
          <w:ilvl w:val="0"/>
          <w:numId w:val="9"/>
        </w:numPr>
        <w:tabs>
          <w:tab w:val="left" w:pos="540"/>
        </w:tabs>
        <w:spacing w:afterLines="50"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放射治療前評估紀錄：包括期別、病理報告、病人簡史、理學檢查、重要檢查結果、診斷、體能狀態及治療計劃。</w:t>
      </w:r>
    </w:p>
    <w:p w:rsidR="0024589B" w:rsidRPr="00D066A0" w:rsidRDefault="0024589B" w:rsidP="00914E05">
      <w:pPr>
        <w:pStyle w:val="ab"/>
        <w:numPr>
          <w:ilvl w:val="0"/>
          <w:numId w:val="9"/>
        </w:numPr>
        <w:tabs>
          <w:tab w:val="left" w:pos="540"/>
        </w:tabs>
        <w:spacing w:afterLines="50" w:line="360" w:lineRule="exact"/>
        <w:ind w:leftChars="0" w:left="211" w:hanging="211"/>
        <w:jc w:val="both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首次治療前應使用定位照相或影像導引以確保照射範圍正確性，並由醫師確認簽章後才能進行。</w:t>
      </w:r>
    </w:p>
    <w:p w:rsidR="0024589B" w:rsidRPr="00D066A0" w:rsidRDefault="0024589B" w:rsidP="0024589B">
      <w:pPr>
        <w:tabs>
          <w:tab w:val="left" w:pos="12972"/>
        </w:tabs>
        <w:spacing w:line="360" w:lineRule="exact"/>
        <w:jc w:val="both"/>
        <w:rPr>
          <w:rFonts w:eastAsia="標楷體"/>
          <w:b/>
          <w:bCs/>
          <w:color w:val="000000" w:themeColor="text1"/>
          <w:sz w:val="28"/>
        </w:rPr>
      </w:pPr>
      <w:r w:rsidRPr="00D066A0">
        <w:rPr>
          <w:rFonts w:eastAsia="標楷體"/>
          <w:b/>
          <w:bCs/>
          <w:color w:val="000000" w:themeColor="text1"/>
          <w:sz w:val="26"/>
          <w:szCs w:val="26"/>
        </w:rPr>
        <w:br w:type="page"/>
      </w:r>
      <w:r w:rsidRPr="00D066A0">
        <w:rPr>
          <w:rFonts w:eastAsia="標楷體"/>
          <w:b/>
          <w:bCs/>
          <w:color w:val="000000" w:themeColor="text1"/>
          <w:sz w:val="28"/>
        </w:rPr>
        <w:lastRenderedPageBreak/>
        <w:t>根治性食道癌放射治療副作用評估</w:t>
      </w:r>
    </w:p>
    <w:p w:rsidR="0024589B" w:rsidRPr="00D066A0" w:rsidRDefault="0024589B" w:rsidP="0024589B">
      <w:pPr>
        <w:tabs>
          <w:tab w:val="left" w:pos="12972"/>
        </w:tabs>
        <w:spacing w:line="360" w:lineRule="exact"/>
        <w:rPr>
          <w:rFonts w:eastAsia="標楷體"/>
          <w:b/>
          <w:bCs/>
          <w:color w:val="000000" w:themeColor="text1"/>
          <w:sz w:val="28"/>
        </w:rPr>
      </w:pPr>
      <w:r>
        <w:rPr>
          <w:rFonts w:eastAsia="標楷體" w:hint="eastAsia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84455</wp:posOffset>
            </wp:positionV>
            <wp:extent cx="8425815" cy="3710940"/>
            <wp:effectExtent l="0" t="0" r="0" b="3810"/>
            <wp:wrapTight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81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589B" w:rsidRPr="00D066A0" w:rsidRDefault="0024589B" w:rsidP="0024589B">
      <w:pPr>
        <w:tabs>
          <w:tab w:val="left" w:pos="12972"/>
        </w:tabs>
        <w:spacing w:line="360" w:lineRule="exact"/>
        <w:rPr>
          <w:rFonts w:eastAsia="標楷體"/>
          <w:b/>
          <w:bCs/>
          <w:color w:val="000000" w:themeColor="text1"/>
          <w:sz w:val="28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</w:p>
    <w:p w:rsidR="0024589B" w:rsidRPr="00D066A0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  <w:r w:rsidRPr="00D066A0">
        <w:rPr>
          <w:rFonts w:eastAsia="標楷體"/>
          <w:bCs/>
          <w:color w:val="000000" w:themeColor="text1"/>
          <w:sz w:val="26"/>
          <w:szCs w:val="26"/>
        </w:rPr>
        <w:t>重要器官劑量限制</w:t>
      </w:r>
    </w:p>
    <w:p w:rsidR="0024589B" w:rsidRPr="00D066A0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  <w:r w:rsidRPr="00D066A0">
        <w:rPr>
          <w:rFonts w:eastAsia="標楷體"/>
          <w:bCs/>
          <w:color w:val="000000" w:themeColor="text1"/>
          <w:sz w:val="26"/>
          <w:szCs w:val="26"/>
        </w:rPr>
        <w:t>Liver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：</w:t>
      </w:r>
      <w:r>
        <w:rPr>
          <w:rFonts w:eastAsia="標楷體"/>
          <w:bCs/>
          <w:color w:val="000000" w:themeColor="text1"/>
          <w:sz w:val="26"/>
          <w:szCs w:val="26"/>
        </w:rPr>
        <w:t>V</w:t>
      </w:r>
      <w:r w:rsidRPr="009527C0">
        <w:rPr>
          <w:rFonts w:eastAsia="標楷體"/>
          <w:bCs/>
          <w:color w:val="000000" w:themeColor="text1"/>
          <w:sz w:val="26"/>
          <w:szCs w:val="26"/>
          <w:vertAlign w:val="subscript"/>
        </w:rPr>
        <w:t>30Gy</w:t>
      </w:r>
      <w:r>
        <w:rPr>
          <w:rFonts w:eastAsia="標楷體"/>
          <w:bCs/>
          <w:color w:val="000000" w:themeColor="text1"/>
          <w:sz w:val="26"/>
          <w:szCs w:val="26"/>
        </w:rPr>
        <w:t>&lt;33%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mean dose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23Gy</w:t>
      </w: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  <w:r>
        <w:rPr>
          <w:rFonts w:eastAsia="標楷體"/>
          <w:bCs/>
          <w:color w:val="000000" w:themeColor="text1"/>
          <w:sz w:val="26"/>
          <w:szCs w:val="26"/>
        </w:rPr>
        <w:t>Kidney: V</w:t>
      </w:r>
      <w:r w:rsidRPr="009527C0">
        <w:rPr>
          <w:rFonts w:eastAsia="標楷體"/>
          <w:bCs/>
          <w:color w:val="000000" w:themeColor="text1"/>
          <w:sz w:val="26"/>
          <w:szCs w:val="26"/>
          <w:vertAlign w:val="subscript"/>
        </w:rPr>
        <w:t>20Gy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≦</w:t>
      </w:r>
      <w:r>
        <w:rPr>
          <w:rFonts w:eastAsia="標楷體"/>
          <w:bCs/>
          <w:color w:val="000000" w:themeColor="text1"/>
          <w:sz w:val="26"/>
          <w:szCs w:val="26"/>
        </w:rPr>
        <w:t>33%, Mean &lt;18G</w:t>
      </w:r>
      <w:r>
        <w:rPr>
          <w:rFonts w:eastAsia="標楷體" w:hint="eastAsia"/>
          <w:bCs/>
          <w:color w:val="000000" w:themeColor="text1"/>
          <w:sz w:val="26"/>
          <w:szCs w:val="26"/>
        </w:rPr>
        <w:t>y</w:t>
      </w:r>
    </w:p>
    <w:p w:rsidR="0024589B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  <w:r w:rsidRPr="00D066A0">
        <w:rPr>
          <w:rFonts w:eastAsia="標楷體"/>
          <w:bCs/>
          <w:color w:val="000000" w:themeColor="text1"/>
          <w:sz w:val="26"/>
          <w:szCs w:val="26"/>
        </w:rPr>
        <w:t>Spinal cord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：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48Gy</w:t>
      </w:r>
    </w:p>
    <w:p w:rsidR="0024589B" w:rsidRPr="00D066A0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  <w:r w:rsidRPr="00D066A0">
        <w:rPr>
          <w:rFonts w:eastAsia="標楷體"/>
          <w:bCs/>
          <w:color w:val="000000" w:themeColor="text1"/>
          <w:sz w:val="26"/>
          <w:szCs w:val="26"/>
        </w:rPr>
        <w:t>Heart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：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1/3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40Gy</w:t>
      </w:r>
    </w:p>
    <w:p w:rsidR="0024589B" w:rsidRPr="00D066A0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  <w:r w:rsidRPr="00D066A0">
        <w:rPr>
          <w:rFonts w:eastAsia="標楷體"/>
          <w:bCs/>
          <w:color w:val="000000" w:themeColor="text1"/>
          <w:sz w:val="26"/>
          <w:szCs w:val="26"/>
        </w:rPr>
        <w:t>Stomach max dose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/>
          <w:bCs/>
          <w:color w:val="000000" w:themeColor="text1"/>
          <w:sz w:val="26"/>
          <w:szCs w:val="26"/>
        </w:rPr>
        <w:t xml:space="preserve"> 54Gy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；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Bowel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 w:cs="新細明體"/>
          <w:bCs/>
          <w:color w:val="000000" w:themeColor="text1"/>
          <w:sz w:val="26"/>
          <w:szCs w:val="26"/>
        </w:rPr>
        <w:t>5</w:t>
      </w:r>
      <w:r>
        <w:rPr>
          <w:rFonts w:eastAsia="標楷體" w:cs="新細明體"/>
          <w:bCs/>
          <w:color w:val="000000" w:themeColor="text1"/>
          <w:sz w:val="26"/>
          <w:szCs w:val="26"/>
        </w:rPr>
        <w:t>4</w:t>
      </w:r>
      <w:r w:rsidRPr="00D066A0">
        <w:rPr>
          <w:rFonts w:eastAsia="標楷體" w:cs="新細明體"/>
          <w:bCs/>
          <w:color w:val="000000" w:themeColor="text1"/>
          <w:sz w:val="26"/>
          <w:szCs w:val="26"/>
        </w:rPr>
        <w:t>Gy</w:t>
      </w:r>
    </w:p>
    <w:p w:rsidR="0024589B" w:rsidRPr="00D066A0" w:rsidRDefault="0024589B" w:rsidP="0024589B">
      <w:pPr>
        <w:tabs>
          <w:tab w:val="left" w:pos="12972"/>
        </w:tabs>
        <w:spacing w:line="360" w:lineRule="exact"/>
        <w:rPr>
          <w:rFonts w:eastAsia="標楷體"/>
          <w:bCs/>
          <w:color w:val="000000" w:themeColor="text1"/>
          <w:sz w:val="26"/>
          <w:szCs w:val="26"/>
        </w:rPr>
      </w:pPr>
      <w:r w:rsidRPr="00D066A0">
        <w:rPr>
          <w:rFonts w:eastAsia="標楷體"/>
          <w:bCs/>
          <w:color w:val="000000" w:themeColor="text1"/>
          <w:sz w:val="26"/>
          <w:szCs w:val="26"/>
        </w:rPr>
        <w:t>Lung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：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V20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38%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V10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50%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，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mean dose</w:t>
      </w:r>
      <w:r w:rsidRPr="00D066A0">
        <w:rPr>
          <w:rFonts w:eastAsia="標楷體" w:cs="新細明體" w:hint="eastAsia"/>
          <w:bCs/>
          <w:color w:val="000000" w:themeColor="text1"/>
          <w:sz w:val="26"/>
          <w:szCs w:val="26"/>
        </w:rPr>
        <w:t>≦</w:t>
      </w:r>
      <w:r w:rsidRPr="00D066A0">
        <w:rPr>
          <w:rFonts w:eastAsia="標楷體"/>
          <w:bCs/>
          <w:color w:val="000000" w:themeColor="text1"/>
          <w:sz w:val="26"/>
          <w:szCs w:val="26"/>
        </w:rPr>
        <w:t>20Gy</w:t>
      </w:r>
    </w:p>
    <w:p w:rsidR="0024589B" w:rsidRPr="00403FA2" w:rsidRDefault="0024589B" w:rsidP="0024589B">
      <w:pPr>
        <w:tabs>
          <w:tab w:val="left" w:pos="12972"/>
        </w:tabs>
        <w:adjustRightInd w:val="0"/>
        <w:snapToGrid w:val="0"/>
        <w:spacing w:line="360" w:lineRule="exact"/>
        <w:rPr>
          <w:rFonts w:eastAsia="標楷體"/>
          <w:b/>
          <w:bCs/>
          <w:color w:val="000000" w:themeColor="text1"/>
          <w:sz w:val="28"/>
        </w:rPr>
        <w:sectPr w:rsidR="0024589B" w:rsidRPr="00403FA2" w:rsidSect="00D066A0">
          <w:pgSz w:w="16838" w:h="11906" w:orient="landscape"/>
          <w:pgMar w:top="720" w:right="720" w:bottom="720" w:left="720" w:header="567" w:footer="567" w:gutter="0"/>
          <w:cols w:space="425"/>
          <w:titlePg/>
          <w:docGrid w:type="lines" w:linePitch="360"/>
        </w:sectPr>
      </w:pPr>
    </w:p>
    <w:p w:rsidR="00345087" w:rsidRDefault="00345087" w:rsidP="00914E05">
      <w:pPr>
        <w:tabs>
          <w:tab w:val="left" w:pos="12972"/>
        </w:tabs>
        <w:adjustRightInd w:val="0"/>
        <w:snapToGrid w:val="0"/>
        <w:spacing w:afterLines="50" w:line="360" w:lineRule="exact"/>
        <w:rPr>
          <w:rFonts w:eastAsia="標楷體"/>
          <w:b/>
          <w:bCs/>
          <w:color w:val="000000" w:themeColor="text1"/>
          <w:sz w:val="28"/>
        </w:rPr>
      </w:pPr>
    </w:p>
    <w:p w:rsidR="0024589B" w:rsidRPr="00D066A0" w:rsidRDefault="0024589B" w:rsidP="00914E05">
      <w:pPr>
        <w:tabs>
          <w:tab w:val="left" w:pos="12972"/>
        </w:tabs>
        <w:adjustRightInd w:val="0"/>
        <w:snapToGrid w:val="0"/>
        <w:spacing w:afterLines="50" w:line="360" w:lineRule="exact"/>
        <w:rPr>
          <w:rFonts w:eastAsia="標楷體"/>
          <w:bCs/>
          <w:color w:val="000000" w:themeColor="text1"/>
          <w:sz w:val="26"/>
          <w:szCs w:val="26"/>
        </w:rPr>
      </w:pPr>
      <w:r w:rsidRPr="00D066A0">
        <w:rPr>
          <w:rFonts w:eastAsia="標楷體"/>
          <w:b/>
          <w:bCs/>
          <w:color w:val="000000" w:themeColor="text1"/>
          <w:sz w:val="28"/>
        </w:rPr>
        <w:lastRenderedPageBreak/>
        <w:t>根治性食道癌放射治療可能副作用與處置：</w:t>
      </w:r>
      <w:r w:rsidRPr="00D066A0">
        <w:rPr>
          <w:rFonts w:eastAsia="標楷體"/>
          <w:color w:val="000000" w:themeColor="text1"/>
          <w:sz w:val="26"/>
        </w:rPr>
        <w:t>可參見國衛院放療共識手冊</w:t>
      </w:r>
      <w:r w:rsidRPr="00D066A0">
        <w:rPr>
          <w:rFonts w:eastAsia="標楷體"/>
          <w:color w:val="000000" w:themeColor="text1"/>
          <w:sz w:val="26"/>
          <w:szCs w:val="28"/>
        </w:rPr>
        <w:t>。</w:t>
      </w:r>
    </w:p>
    <w:p w:rsidR="0024589B" w:rsidRPr="007E349A" w:rsidRDefault="0024589B" w:rsidP="0024589B">
      <w:pPr>
        <w:adjustRightInd w:val="0"/>
        <w:snapToGrid w:val="0"/>
        <w:spacing w:line="360" w:lineRule="exact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一、</w:t>
      </w:r>
      <w:r w:rsidRPr="007E349A">
        <w:rPr>
          <w:rFonts w:eastAsia="標楷體"/>
          <w:color w:val="000000" w:themeColor="text1"/>
          <w:sz w:val="26"/>
          <w:szCs w:val="26"/>
        </w:rPr>
        <w:t>急性副作用：</w:t>
      </w:r>
    </w:p>
    <w:p w:rsidR="0024589B" w:rsidRDefault="0024589B" w:rsidP="004F2BC4">
      <w:pPr>
        <w:pStyle w:val="ab"/>
        <w:numPr>
          <w:ilvl w:val="0"/>
          <w:numId w:val="12"/>
        </w:numPr>
        <w:adjustRightInd w:val="0"/>
        <w:snapToGrid w:val="0"/>
        <w:spacing w:line="360" w:lineRule="exact"/>
        <w:ind w:leftChars="0" w:left="211" w:hanging="211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7E349A">
        <w:rPr>
          <w:rFonts w:eastAsia="標楷體"/>
          <w:color w:val="000000" w:themeColor="text1"/>
          <w:sz w:val="26"/>
          <w:szCs w:val="26"/>
        </w:rPr>
        <w:t>噁心、嘔吐：選擇清淡易消化之食物，少量多餐，嚴重時可請醫師處方。</w:t>
      </w:r>
    </w:p>
    <w:p w:rsidR="0024589B" w:rsidRDefault="0024589B" w:rsidP="004F2BC4">
      <w:pPr>
        <w:pStyle w:val="ab"/>
        <w:numPr>
          <w:ilvl w:val="0"/>
          <w:numId w:val="12"/>
        </w:numPr>
        <w:adjustRightInd w:val="0"/>
        <w:snapToGrid w:val="0"/>
        <w:spacing w:line="360" w:lineRule="exact"/>
        <w:ind w:leftChars="0" w:left="211" w:hanging="211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7E349A">
        <w:rPr>
          <w:rFonts w:eastAsia="標楷體"/>
          <w:color w:val="000000" w:themeColor="text1"/>
          <w:sz w:val="26"/>
          <w:szCs w:val="26"/>
        </w:rPr>
        <w:t>喉嚨及食道炎：吞嚥時食道有灼熱感，改用柔軟之食物，必要時可請醫師處方或暫停治療。</w:t>
      </w:r>
    </w:p>
    <w:p w:rsidR="0024589B" w:rsidRPr="007E349A" w:rsidRDefault="0024589B" w:rsidP="00914E05">
      <w:pPr>
        <w:pStyle w:val="ab"/>
        <w:numPr>
          <w:ilvl w:val="0"/>
          <w:numId w:val="12"/>
        </w:numPr>
        <w:adjustRightInd w:val="0"/>
        <w:snapToGrid w:val="0"/>
        <w:spacing w:afterLines="50" w:line="360" w:lineRule="exact"/>
        <w:ind w:leftChars="0" w:left="211" w:hanging="211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7E349A">
        <w:rPr>
          <w:rFonts w:eastAsia="標楷體"/>
          <w:color w:val="000000" w:themeColor="text1"/>
          <w:sz w:val="26"/>
          <w:szCs w:val="26"/>
        </w:rPr>
        <w:t>咳嗽：可請醫師處方。</w:t>
      </w:r>
    </w:p>
    <w:p w:rsidR="0024589B" w:rsidRPr="007E349A" w:rsidRDefault="0024589B" w:rsidP="0024589B">
      <w:pPr>
        <w:adjustRightInd w:val="0"/>
        <w:snapToGrid w:val="0"/>
        <w:spacing w:line="360" w:lineRule="exact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二、</w:t>
      </w:r>
      <w:r w:rsidRPr="007E349A">
        <w:rPr>
          <w:rFonts w:eastAsia="標楷體"/>
          <w:color w:val="000000" w:themeColor="text1"/>
          <w:sz w:val="26"/>
          <w:szCs w:val="26"/>
        </w:rPr>
        <w:t>慢性副作用：</w:t>
      </w:r>
    </w:p>
    <w:p w:rsidR="0024589B" w:rsidRPr="00D066A0" w:rsidRDefault="0024589B" w:rsidP="004F2BC4">
      <w:pPr>
        <w:numPr>
          <w:ilvl w:val="0"/>
          <w:numId w:val="5"/>
        </w:numPr>
        <w:tabs>
          <w:tab w:val="num" w:pos="840"/>
        </w:tabs>
        <w:adjustRightInd w:val="0"/>
        <w:snapToGrid w:val="0"/>
        <w:spacing w:line="360" w:lineRule="exact"/>
        <w:ind w:left="851" w:hanging="284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食道狹窄：吞嚥困難，可用擴張器擴張或手術治療。</w:t>
      </w:r>
    </w:p>
    <w:p w:rsidR="0024589B" w:rsidRPr="00D066A0" w:rsidRDefault="0024589B" w:rsidP="004F2BC4">
      <w:pPr>
        <w:numPr>
          <w:ilvl w:val="0"/>
          <w:numId w:val="5"/>
        </w:numPr>
        <w:tabs>
          <w:tab w:val="num" w:pos="840"/>
        </w:tabs>
        <w:adjustRightInd w:val="0"/>
        <w:snapToGrid w:val="0"/>
        <w:spacing w:line="360" w:lineRule="exact"/>
        <w:ind w:left="851" w:hanging="284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肺部發炎或纖維化引起咳嗽、氣喘、呼吸困難，可用藥物及氧氣治療。</w:t>
      </w:r>
    </w:p>
    <w:p w:rsidR="0024589B" w:rsidRPr="00D066A0" w:rsidRDefault="0024589B" w:rsidP="004F2BC4">
      <w:pPr>
        <w:numPr>
          <w:ilvl w:val="0"/>
          <w:numId w:val="5"/>
        </w:numPr>
        <w:tabs>
          <w:tab w:val="num" w:pos="840"/>
        </w:tabs>
        <w:adjustRightInd w:val="0"/>
        <w:snapToGrid w:val="0"/>
        <w:spacing w:line="360" w:lineRule="exact"/>
        <w:ind w:left="851" w:hanging="284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脊髓炎：下半身麻木感覺或麻痺，可用高壓氧治療。</w:t>
      </w:r>
    </w:p>
    <w:p w:rsidR="0024589B" w:rsidRPr="00D066A0" w:rsidRDefault="0024589B" w:rsidP="004F2BC4">
      <w:pPr>
        <w:numPr>
          <w:ilvl w:val="0"/>
          <w:numId w:val="5"/>
        </w:numPr>
        <w:tabs>
          <w:tab w:val="num" w:pos="840"/>
        </w:tabs>
        <w:adjustRightInd w:val="0"/>
        <w:snapToGrid w:val="0"/>
        <w:spacing w:line="360" w:lineRule="exact"/>
        <w:ind w:left="851" w:hanging="284"/>
        <w:jc w:val="both"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D066A0">
        <w:rPr>
          <w:rFonts w:eastAsia="標楷體"/>
          <w:color w:val="000000" w:themeColor="text1"/>
          <w:sz w:val="26"/>
          <w:szCs w:val="26"/>
        </w:rPr>
        <w:t>少數其他可能之副作用如心血管疾病，胸壁副作用，臂神經損傷，氣管副作用，肝臟副作用，腸道副作用，腎臟副作用。</w:t>
      </w:r>
    </w:p>
    <w:p w:rsidR="0024589B" w:rsidRPr="00D066A0" w:rsidRDefault="0024589B" w:rsidP="0024589B">
      <w:pPr>
        <w:tabs>
          <w:tab w:val="left" w:pos="12972"/>
        </w:tabs>
        <w:snapToGrid w:val="0"/>
        <w:spacing w:line="360" w:lineRule="exact"/>
        <w:ind w:firstLineChars="200" w:firstLine="520"/>
        <w:rPr>
          <w:rFonts w:eastAsia="標楷體"/>
          <w:color w:val="000000" w:themeColor="text1"/>
          <w:sz w:val="26"/>
          <w:szCs w:val="26"/>
        </w:rPr>
      </w:pPr>
    </w:p>
    <w:p w:rsidR="0024589B" w:rsidRPr="00D066A0" w:rsidRDefault="0024589B" w:rsidP="0024589B">
      <w:pPr>
        <w:snapToGrid w:val="0"/>
        <w:spacing w:line="360" w:lineRule="exact"/>
        <w:jc w:val="both"/>
        <w:rPr>
          <w:rFonts w:eastAsia="標楷體"/>
          <w:bCs/>
          <w:color w:val="000000" w:themeColor="text1"/>
          <w:sz w:val="26"/>
          <w:szCs w:val="26"/>
        </w:rPr>
      </w:pPr>
    </w:p>
    <w:p w:rsidR="0024589B" w:rsidRPr="00D066A0" w:rsidRDefault="0024589B" w:rsidP="0024589B">
      <w:pPr>
        <w:snapToGrid w:val="0"/>
        <w:spacing w:line="36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066A0">
        <w:rPr>
          <w:rFonts w:eastAsia="標楷體"/>
          <w:b/>
          <w:color w:val="000000" w:themeColor="text1"/>
          <w:sz w:val="28"/>
        </w:rPr>
        <w:br w:type="page"/>
      </w:r>
      <w:r w:rsidRPr="00D066A0">
        <w:rPr>
          <w:rFonts w:eastAsia="標楷體"/>
          <w:b/>
          <w:color w:val="000000" w:themeColor="text1"/>
          <w:sz w:val="28"/>
          <w:szCs w:val="28"/>
        </w:rPr>
        <w:lastRenderedPageBreak/>
        <w:t>參考文獻：</w:t>
      </w:r>
    </w:p>
    <w:p w:rsidR="0024589B" w:rsidRPr="00DB7798" w:rsidRDefault="0024589B" w:rsidP="004F2BC4">
      <w:pPr>
        <w:pStyle w:val="-11"/>
        <w:numPr>
          <w:ilvl w:val="0"/>
          <w:numId w:val="2"/>
        </w:numPr>
        <w:snapToGrid w:val="0"/>
        <w:spacing w:line="200" w:lineRule="atLeast"/>
        <w:ind w:leftChars="0" w:left="165" w:hanging="165"/>
        <w:jc w:val="both"/>
        <w:rPr>
          <w:rFonts w:ascii="Times New Roman" w:eastAsia="標楷體" w:hAnsi="Times New Roman" w:cs="Times New Roman"/>
        </w:rPr>
      </w:pPr>
      <w:r w:rsidRPr="00DB7798">
        <w:rPr>
          <w:rFonts w:ascii="Times New Roman" w:eastAsia="標楷體" w:hAnsi="Times New Roman" w:cs="Times New Roman"/>
        </w:rPr>
        <w:t xml:space="preserve">National Comprehensive Cancer Network (NCCN) Clinical Practice Guidelines in Oncology: Esophageal cancer </w:t>
      </w:r>
      <w:r w:rsidRPr="00DB7798">
        <w:rPr>
          <w:rFonts w:ascii="Times New Roman" w:hAnsi="Times New Roman" w:cs="Times New Roman"/>
          <w:shd w:val="clear" w:color="auto" w:fill="FFFFFF"/>
        </w:rPr>
        <w:t>Version: 2.2023.</w:t>
      </w:r>
      <w:r w:rsidRPr="00DB7798">
        <w:rPr>
          <w:rFonts w:ascii="Times New Roman" w:eastAsia="標楷體" w:hAnsi="Times New Roman" w:cs="Times New Roman"/>
        </w:rPr>
        <w:t>Available at</w:t>
      </w:r>
      <w:r w:rsidRPr="00DB7798">
        <w:rPr>
          <w:rFonts w:ascii="Times New Roman" w:hAnsi="Times New Roman" w:cs="Times New Roman"/>
        </w:rPr>
        <w:t xml:space="preserve">https://www.nccn.org/professionals/physician_gls/pdf/esophageal.pdf. </w:t>
      </w:r>
      <w:r w:rsidRPr="00DB7798">
        <w:rPr>
          <w:rFonts w:ascii="Times New Roman" w:eastAsia="標楷體" w:hAnsi="Times New Roman" w:cs="Times New Roman"/>
        </w:rPr>
        <w:t>Accessed June 7, 2023..</w:t>
      </w:r>
    </w:p>
    <w:p w:rsidR="0024589B" w:rsidRPr="00D066A0" w:rsidRDefault="0024589B" w:rsidP="004F2BC4">
      <w:pPr>
        <w:pStyle w:val="-11"/>
        <w:numPr>
          <w:ilvl w:val="0"/>
          <w:numId w:val="2"/>
        </w:numPr>
        <w:snapToGrid w:val="0"/>
        <w:spacing w:line="200" w:lineRule="atLeast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D066A0">
        <w:rPr>
          <w:rFonts w:ascii="Times New Roman" w:eastAsia="標楷體" w:hAnsi="Times New Roman" w:cs="Times New Roman"/>
        </w:rPr>
        <w:t>Herskovic A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Martz K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AI-Sarraf M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et al. Combined chemotherapy and radiotherapy compared with radiotherapy alone in patients with cancer of the esophagus. N Engl J Med 1992</w:t>
      </w:r>
      <w:r w:rsidRPr="00D066A0">
        <w:rPr>
          <w:rFonts w:ascii="Times New Roman" w:eastAsia="標楷體" w:hAnsi="Times New Roman" w:cs="Times New Roman"/>
        </w:rPr>
        <w:t>；</w:t>
      </w:r>
      <w:r w:rsidRPr="00D066A0">
        <w:rPr>
          <w:rFonts w:ascii="Times New Roman" w:eastAsia="標楷體" w:hAnsi="Times New Roman" w:cs="Times New Roman"/>
        </w:rPr>
        <w:t>326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1593-1598.</w:t>
      </w:r>
    </w:p>
    <w:p w:rsidR="0024589B" w:rsidRPr="00D066A0" w:rsidRDefault="0024589B" w:rsidP="004F2BC4">
      <w:pPr>
        <w:pStyle w:val="-11"/>
        <w:numPr>
          <w:ilvl w:val="0"/>
          <w:numId w:val="2"/>
        </w:numPr>
        <w:snapToGrid w:val="0"/>
        <w:spacing w:line="200" w:lineRule="atLeast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D066A0">
        <w:rPr>
          <w:rFonts w:ascii="Times New Roman" w:eastAsia="標楷體" w:hAnsi="Times New Roman" w:cs="Times New Roman"/>
        </w:rPr>
        <w:t>Cooper JS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Guo MD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Herskovic A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et al. Chemotherapy of locally advanced esophageal cancer. Long term follow-up of prospective randomized trial (RTOG 85-01). JAMA 1999</w:t>
      </w:r>
      <w:r w:rsidRPr="00D066A0">
        <w:rPr>
          <w:rFonts w:ascii="Times New Roman" w:eastAsia="標楷體" w:hAnsi="Times New Roman" w:cs="Times New Roman"/>
        </w:rPr>
        <w:t>；</w:t>
      </w:r>
      <w:r w:rsidRPr="00D066A0">
        <w:rPr>
          <w:rFonts w:ascii="Times New Roman" w:eastAsia="標楷體" w:hAnsi="Times New Roman" w:cs="Times New Roman"/>
        </w:rPr>
        <w:t>281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1623-1627.</w:t>
      </w:r>
    </w:p>
    <w:p w:rsidR="0024589B" w:rsidRPr="00D066A0" w:rsidRDefault="0024589B" w:rsidP="004F2BC4">
      <w:pPr>
        <w:pStyle w:val="-11"/>
        <w:numPr>
          <w:ilvl w:val="0"/>
          <w:numId w:val="2"/>
        </w:numPr>
        <w:snapToGrid w:val="0"/>
        <w:spacing w:line="200" w:lineRule="atLeast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D066A0">
        <w:rPr>
          <w:rFonts w:ascii="Times New Roman" w:eastAsia="標楷體" w:hAnsi="Times New Roman" w:cs="Times New Roman"/>
        </w:rPr>
        <w:t>Minsky BD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Pajak T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Ginsberg RJ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et al. INT 0123 (RTOG 94-05) phase III trial of combined modality therapy for esophageal cancer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high dose (64.8 Gy) vs. standard dose (50.4 Gy) radiation therapy. J ClinOncol 2002</w:t>
      </w:r>
      <w:r w:rsidRPr="00D066A0">
        <w:rPr>
          <w:rFonts w:ascii="Times New Roman" w:eastAsia="標楷體" w:hAnsi="Times New Roman" w:cs="Times New Roman"/>
        </w:rPr>
        <w:t>；</w:t>
      </w:r>
      <w:r w:rsidRPr="00D066A0">
        <w:rPr>
          <w:rFonts w:ascii="Times New Roman" w:eastAsia="標楷體" w:hAnsi="Times New Roman" w:cs="Times New Roman"/>
        </w:rPr>
        <w:t>20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1167-1174.</w:t>
      </w:r>
    </w:p>
    <w:p w:rsidR="0024589B" w:rsidRPr="00D066A0" w:rsidRDefault="0024589B" w:rsidP="004F2BC4">
      <w:pPr>
        <w:pStyle w:val="-11"/>
        <w:numPr>
          <w:ilvl w:val="0"/>
          <w:numId w:val="2"/>
        </w:numPr>
        <w:snapToGrid w:val="0"/>
        <w:spacing w:line="200" w:lineRule="atLeast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D066A0">
        <w:rPr>
          <w:rFonts w:ascii="Times New Roman" w:eastAsia="標楷體" w:hAnsi="Times New Roman" w:cs="Times New Roman"/>
          <w:shd w:val="clear" w:color="auto" w:fill="FFFFFF"/>
        </w:rPr>
        <w:t>Malthaner R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，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Wong RK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，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Spithoff K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，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et. al.Preoperative or postoperative therapy for resectable</w:t>
      </w:r>
      <w:r w:rsidRPr="00D066A0">
        <w:rPr>
          <w:rFonts w:ascii="Times New Roman" w:eastAsia="標楷體" w:hAnsi="Times New Roman" w:cs="Times New Roman"/>
        </w:rPr>
        <w:t>oesophageal cancer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a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n updated practice guideline.</w:t>
      </w:r>
      <w:r w:rsidRPr="00D066A0">
        <w:rPr>
          <w:rStyle w:val="jrnl"/>
          <w:rFonts w:ascii="Times New Roman" w:eastAsia="標楷體" w:hAnsi="Times New Roman" w:cs="Times New Roman"/>
          <w:shd w:val="clear" w:color="auto" w:fill="FFFFFF"/>
        </w:rPr>
        <w:t>ClinOncol (R CollRadiol)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. 2010 May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；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22(4)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：</w:t>
      </w:r>
      <w:r w:rsidRPr="00D066A0">
        <w:rPr>
          <w:rFonts w:ascii="Times New Roman" w:eastAsia="標楷體" w:hAnsi="Times New Roman" w:cs="Times New Roman"/>
          <w:shd w:val="clear" w:color="auto" w:fill="FFFFFF"/>
        </w:rPr>
        <w:t>250-6.</w:t>
      </w:r>
      <w:r w:rsidRPr="00D066A0">
        <w:rPr>
          <w:rFonts w:ascii="Times New Roman" w:eastAsia="標楷體" w:hAnsi="Times New Roman" w:cs="Times New Roman"/>
        </w:rPr>
        <w:t>Bernhard Berger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 xml:space="preserve"> Claus Belka. Evidence-based radiation oncology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Oesophagus. Radiotherapy and Oncology 2009</w:t>
      </w:r>
      <w:r w:rsidRPr="00D066A0">
        <w:rPr>
          <w:rFonts w:ascii="Times New Roman" w:eastAsia="標楷體" w:hAnsi="Times New Roman" w:cs="Times New Roman"/>
        </w:rPr>
        <w:t>；</w:t>
      </w:r>
      <w:r w:rsidRPr="00D066A0">
        <w:rPr>
          <w:rFonts w:ascii="Times New Roman" w:eastAsia="標楷體" w:hAnsi="Times New Roman" w:cs="Times New Roman"/>
        </w:rPr>
        <w:t>92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276-290.</w:t>
      </w:r>
    </w:p>
    <w:p w:rsidR="0024589B" w:rsidRPr="00D066A0" w:rsidRDefault="0024589B" w:rsidP="004F2BC4">
      <w:pPr>
        <w:pStyle w:val="-11"/>
        <w:numPr>
          <w:ilvl w:val="0"/>
          <w:numId w:val="2"/>
        </w:numPr>
        <w:snapToGrid w:val="0"/>
        <w:spacing w:line="200" w:lineRule="atLeast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D066A0">
        <w:rPr>
          <w:rFonts w:ascii="Times New Roman" w:eastAsia="標楷體" w:hAnsi="Times New Roman" w:cs="Times New Roman"/>
        </w:rPr>
        <w:t>Onozawa M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Nihei K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Ishikura K</w:t>
      </w:r>
      <w:r w:rsidRPr="00D066A0">
        <w:rPr>
          <w:rFonts w:ascii="Times New Roman" w:eastAsia="標楷體" w:hAnsi="Times New Roman" w:cs="Times New Roman"/>
        </w:rPr>
        <w:t>，</w:t>
      </w:r>
      <w:r w:rsidRPr="00D066A0">
        <w:rPr>
          <w:rFonts w:ascii="Times New Roman" w:eastAsia="標楷體" w:hAnsi="Times New Roman" w:cs="Times New Roman"/>
        </w:rPr>
        <w:t>et al. Elective nodal irradiation in definitive chemoradiotherapy for squamous cell carcinoma of the esophagus. Radiotherapy and Oncology 2009</w:t>
      </w:r>
      <w:r w:rsidRPr="00D066A0">
        <w:rPr>
          <w:rFonts w:ascii="Times New Roman" w:eastAsia="標楷體" w:hAnsi="Times New Roman" w:cs="Times New Roman"/>
        </w:rPr>
        <w:t>；</w:t>
      </w:r>
      <w:r w:rsidRPr="00D066A0">
        <w:rPr>
          <w:rFonts w:ascii="Times New Roman" w:eastAsia="標楷體" w:hAnsi="Times New Roman" w:cs="Times New Roman"/>
        </w:rPr>
        <w:t>92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266-269.</w:t>
      </w:r>
    </w:p>
    <w:p w:rsidR="0024589B" w:rsidRPr="00D066A0" w:rsidRDefault="0024589B" w:rsidP="004F2BC4">
      <w:pPr>
        <w:pStyle w:val="-11"/>
        <w:numPr>
          <w:ilvl w:val="0"/>
          <w:numId w:val="2"/>
        </w:numPr>
        <w:snapToGrid w:val="0"/>
        <w:spacing w:line="200" w:lineRule="atLeast"/>
        <w:ind w:leftChars="0" w:left="165" w:hanging="165"/>
        <w:jc w:val="both"/>
        <w:rPr>
          <w:rFonts w:ascii="Times New Roman" w:eastAsia="標楷體" w:hAnsi="Times New Roman" w:cs="Times New Roman"/>
        </w:rPr>
      </w:pPr>
      <w:r w:rsidRPr="00D066A0">
        <w:rPr>
          <w:rFonts w:ascii="Times New Roman" w:eastAsia="標楷體" w:hAnsi="Times New Roman" w:cs="Times New Roman"/>
        </w:rPr>
        <w:t>CTCv4.0 http</w:t>
      </w:r>
      <w:r w:rsidRPr="00D066A0">
        <w:rPr>
          <w:rFonts w:ascii="Times New Roman" w:eastAsia="標楷體" w:hAnsi="Times New Roman" w:cs="Times New Roman"/>
        </w:rPr>
        <w:t>：</w:t>
      </w:r>
      <w:r w:rsidRPr="00D066A0">
        <w:rPr>
          <w:rFonts w:ascii="Times New Roman" w:eastAsia="標楷體" w:hAnsi="Times New Roman" w:cs="Times New Roman"/>
        </w:rPr>
        <w:t>//evs.nci.nih.gov/ftp1/CTCAE/CTCAE_4.03_2010-06-14_QuickReference_5x7.pdf.</w:t>
      </w:r>
    </w:p>
    <w:p w:rsidR="0024589B" w:rsidRPr="00D066A0" w:rsidRDefault="0022486C" w:rsidP="004F2BC4">
      <w:pPr>
        <w:widowControl/>
        <w:numPr>
          <w:ilvl w:val="0"/>
          <w:numId w:val="2"/>
        </w:numPr>
        <w:shd w:val="clear" w:color="auto" w:fill="FFFFFF"/>
        <w:snapToGrid w:val="0"/>
        <w:spacing w:line="200" w:lineRule="atLeast"/>
        <w:ind w:left="482" w:hanging="482"/>
        <w:jc w:val="both"/>
        <w:outlineLvl w:val="0"/>
        <w:rPr>
          <w:rFonts w:eastAsia="標楷體"/>
          <w:bCs/>
          <w:kern w:val="36"/>
          <w:szCs w:val="24"/>
        </w:rPr>
      </w:pPr>
      <w:hyperlink r:id="rId15" w:history="1">
        <w:r w:rsidR="0024589B" w:rsidRPr="00D066A0">
          <w:rPr>
            <w:rFonts w:eastAsia="標楷體"/>
            <w:szCs w:val="24"/>
          </w:rPr>
          <w:t>Van Hagen P</w:t>
        </w:r>
      </w:hyperlink>
      <w:r w:rsidR="0024589B" w:rsidRPr="00D066A0">
        <w:rPr>
          <w:rFonts w:eastAsia="標楷體"/>
          <w:szCs w:val="24"/>
        </w:rPr>
        <w:t>，</w:t>
      </w:r>
      <w:hyperlink r:id="rId16" w:history="1">
        <w:r w:rsidR="0024589B" w:rsidRPr="00D066A0">
          <w:rPr>
            <w:rFonts w:eastAsia="標楷體"/>
            <w:szCs w:val="24"/>
          </w:rPr>
          <w:t>Hulshof MC</w:t>
        </w:r>
      </w:hyperlink>
      <w:r w:rsidR="0024589B" w:rsidRPr="00D066A0">
        <w:rPr>
          <w:rFonts w:eastAsia="標楷體"/>
          <w:szCs w:val="24"/>
        </w:rPr>
        <w:t>，</w:t>
      </w:r>
      <w:hyperlink r:id="rId17" w:history="1">
        <w:r w:rsidR="0024589B" w:rsidRPr="00D066A0">
          <w:rPr>
            <w:rFonts w:eastAsia="標楷體"/>
            <w:szCs w:val="24"/>
          </w:rPr>
          <w:t>van Lanschot JJ</w:t>
        </w:r>
      </w:hyperlink>
      <w:r w:rsidR="0024589B" w:rsidRPr="00D066A0">
        <w:rPr>
          <w:rFonts w:eastAsia="標楷體"/>
          <w:szCs w:val="24"/>
        </w:rPr>
        <w:t xml:space="preserve">. </w:t>
      </w:r>
      <w:r w:rsidR="0024589B" w:rsidRPr="00D066A0">
        <w:rPr>
          <w:rFonts w:eastAsia="標楷體"/>
          <w:bCs/>
          <w:kern w:val="36"/>
          <w:szCs w:val="24"/>
        </w:rPr>
        <w:t>Preoperative chemoradiotherapy for esophageal or junctionalcancer.</w:t>
      </w:r>
      <w:hyperlink r:id="rId18" w:tooltip="The New England journal of medicine." w:history="1">
        <w:r w:rsidR="0024589B" w:rsidRPr="00D066A0">
          <w:rPr>
            <w:rFonts w:eastAsia="標楷體"/>
            <w:szCs w:val="24"/>
          </w:rPr>
          <w:t>N Engl J Med.</w:t>
        </w:r>
      </w:hyperlink>
      <w:r w:rsidR="0024589B" w:rsidRPr="00D066A0">
        <w:rPr>
          <w:rFonts w:eastAsia="標楷體"/>
          <w:szCs w:val="24"/>
        </w:rPr>
        <w:t xml:space="preserve"> 2012 31</w:t>
      </w:r>
      <w:r w:rsidR="0024589B" w:rsidRPr="00D066A0">
        <w:rPr>
          <w:rFonts w:eastAsia="標楷體"/>
          <w:szCs w:val="24"/>
        </w:rPr>
        <w:t>；</w:t>
      </w:r>
      <w:r w:rsidR="0024589B" w:rsidRPr="00D066A0">
        <w:rPr>
          <w:rFonts w:eastAsia="標楷體"/>
          <w:szCs w:val="24"/>
        </w:rPr>
        <w:t>366(22)</w:t>
      </w:r>
      <w:r w:rsidR="0024589B" w:rsidRPr="00D066A0">
        <w:rPr>
          <w:rFonts w:eastAsia="標楷體"/>
          <w:szCs w:val="24"/>
        </w:rPr>
        <w:t>：</w:t>
      </w:r>
      <w:r w:rsidR="0024589B" w:rsidRPr="00D066A0">
        <w:rPr>
          <w:rFonts w:eastAsia="標楷體"/>
          <w:szCs w:val="24"/>
        </w:rPr>
        <w:t>2074-84.</w:t>
      </w:r>
    </w:p>
    <w:p w:rsidR="0024589B" w:rsidRPr="00D066A0" w:rsidRDefault="0022486C" w:rsidP="004F2BC4">
      <w:pPr>
        <w:widowControl/>
        <w:numPr>
          <w:ilvl w:val="0"/>
          <w:numId w:val="2"/>
        </w:numPr>
        <w:shd w:val="clear" w:color="auto" w:fill="FFFFFF"/>
        <w:snapToGrid w:val="0"/>
        <w:spacing w:line="200" w:lineRule="atLeast"/>
        <w:ind w:left="482" w:hanging="482"/>
        <w:jc w:val="both"/>
        <w:outlineLvl w:val="0"/>
        <w:rPr>
          <w:rFonts w:eastAsia="標楷體"/>
          <w:bCs/>
          <w:kern w:val="36"/>
          <w:szCs w:val="24"/>
        </w:rPr>
      </w:pPr>
      <w:hyperlink r:id="rId19" w:history="1">
        <w:r w:rsidR="0024589B" w:rsidRPr="00D066A0">
          <w:rPr>
            <w:rFonts w:eastAsia="標楷體"/>
            <w:szCs w:val="24"/>
          </w:rPr>
          <w:t>Lin SH</w:t>
        </w:r>
      </w:hyperlink>
      <w:r w:rsidR="0024589B" w:rsidRPr="00D066A0">
        <w:rPr>
          <w:rFonts w:eastAsia="標楷體"/>
          <w:szCs w:val="24"/>
        </w:rPr>
        <w:t>，</w:t>
      </w:r>
      <w:hyperlink r:id="rId20" w:history="1">
        <w:r w:rsidR="0024589B" w:rsidRPr="00D066A0">
          <w:rPr>
            <w:rFonts w:eastAsia="標楷體"/>
            <w:szCs w:val="24"/>
          </w:rPr>
          <w:t>Wang L</w:t>
        </w:r>
      </w:hyperlink>
      <w:r w:rsidR="0024589B" w:rsidRPr="00D066A0">
        <w:rPr>
          <w:rFonts w:eastAsia="標楷體"/>
          <w:szCs w:val="24"/>
        </w:rPr>
        <w:t>，</w:t>
      </w:r>
      <w:hyperlink r:id="rId21" w:history="1">
        <w:r w:rsidR="0024589B" w:rsidRPr="00D066A0">
          <w:rPr>
            <w:rFonts w:eastAsia="標楷體"/>
            <w:szCs w:val="24"/>
          </w:rPr>
          <w:t>Myles B</w:t>
        </w:r>
      </w:hyperlink>
      <w:r w:rsidR="0024589B" w:rsidRPr="00D066A0">
        <w:rPr>
          <w:rFonts w:eastAsia="標楷體"/>
          <w:szCs w:val="24"/>
        </w:rPr>
        <w:t>，</w:t>
      </w:r>
      <w:hyperlink r:id="rId22" w:history="1">
        <w:r w:rsidR="0024589B" w:rsidRPr="00D066A0">
          <w:rPr>
            <w:rFonts w:eastAsia="標楷體"/>
            <w:szCs w:val="24"/>
          </w:rPr>
          <w:t>Thall PF</w:t>
        </w:r>
      </w:hyperlink>
      <w:r w:rsidR="0024589B" w:rsidRPr="00D066A0">
        <w:rPr>
          <w:rFonts w:eastAsia="標楷體"/>
          <w:szCs w:val="24"/>
        </w:rPr>
        <w:t xml:space="preserve">. </w:t>
      </w:r>
      <w:r w:rsidR="0024589B" w:rsidRPr="00D066A0">
        <w:rPr>
          <w:rFonts w:eastAsia="標楷體"/>
          <w:bCs/>
          <w:kern w:val="36"/>
          <w:szCs w:val="24"/>
        </w:rPr>
        <w:t xml:space="preserve">Propensity Score-based Comparison of Long-term Outcomes With 3-Dimensional Conformal Radiotherapy </w:t>
      </w:r>
    </w:p>
    <w:p w:rsidR="0024589B" w:rsidRPr="00D066A0" w:rsidRDefault="0024589B" w:rsidP="0024589B">
      <w:pPr>
        <w:widowControl/>
        <w:shd w:val="clear" w:color="auto" w:fill="FFFFFF"/>
        <w:snapToGrid w:val="0"/>
        <w:spacing w:line="200" w:lineRule="atLeast"/>
        <w:ind w:left="482"/>
        <w:jc w:val="both"/>
        <w:outlineLvl w:val="0"/>
        <w:rPr>
          <w:rFonts w:eastAsia="標楷體"/>
          <w:bCs/>
          <w:kern w:val="36"/>
          <w:szCs w:val="24"/>
        </w:rPr>
      </w:pPr>
      <w:r w:rsidRPr="00D066A0">
        <w:rPr>
          <w:rFonts w:eastAsia="標楷體"/>
          <w:bCs/>
          <w:kern w:val="36"/>
          <w:szCs w:val="24"/>
        </w:rPr>
        <w:t xml:space="preserve">vs Intensity-Modulated Radiotherapy for Esophageal Cancer. </w:t>
      </w:r>
      <w:hyperlink r:id="rId23" w:tooltip="International journal of radiation oncology, biology, physics." w:history="1">
        <w:r w:rsidRPr="00D066A0">
          <w:rPr>
            <w:rFonts w:eastAsia="標楷體"/>
            <w:szCs w:val="24"/>
          </w:rPr>
          <w:t>Int J Radiat Oncol Biol Phys.</w:t>
        </w:r>
      </w:hyperlink>
      <w:r w:rsidRPr="00D066A0">
        <w:rPr>
          <w:rFonts w:eastAsia="標楷體"/>
          <w:szCs w:val="24"/>
        </w:rPr>
        <w:t xml:space="preserve"> 2012 1</w:t>
      </w:r>
      <w:r w:rsidRPr="00D066A0">
        <w:rPr>
          <w:rFonts w:eastAsia="標楷體"/>
          <w:szCs w:val="24"/>
        </w:rPr>
        <w:t>；</w:t>
      </w:r>
      <w:r w:rsidRPr="00D066A0">
        <w:rPr>
          <w:rFonts w:eastAsia="標楷體"/>
          <w:szCs w:val="24"/>
        </w:rPr>
        <w:t>84(5)</w:t>
      </w:r>
      <w:r w:rsidRPr="00D066A0">
        <w:rPr>
          <w:rFonts w:eastAsia="標楷體"/>
          <w:szCs w:val="24"/>
        </w:rPr>
        <w:t>：</w:t>
      </w:r>
      <w:r w:rsidRPr="00D066A0">
        <w:rPr>
          <w:rFonts w:eastAsia="標楷體"/>
          <w:szCs w:val="24"/>
        </w:rPr>
        <w:t>1078-85.</w:t>
      </w:r>
    </w:p>
    <w:p w:rsidR="0024589B" w:rsidRPr="00D066A0" w:rsidRDefault="0022486C" w:rsidP="004F2BC4">
      <w:pPr>
        <w:widowControl/>
        <w:numPr>
          <w:ilvl w:val="0"/>
          <w:numId w:val="2"/>
        </w:numPr>
        <w:shd w:val="clear" w:color="auto" w:fill="FFFFFF"/>
        <w:snapToGrid w:val="0"/>
        <w:spacing w:line="200" w:lineRule="atLeast"/>
        <w:ind w:left="482" w:hanging="482"/>
        <w:jc w:val="both"/>
        <w:outlineLvl w:val="0"/>
        <w:rPr>
          <w:rFonts w:eastAsia="標楷體"/>
          <w:szCs w:val="24"/>
        </w:rPr>
      </w:pPr>
      <w:hyperlink r:id="rId24" w:history="1">
        <w:r w:rsidR="0024589B" w:rsidRPr="00D066A0">
          <w:rPr>
            <w:rFonts w:eastAsia="標楷體"/>
            <w:szCs w:val="24"/>
          </w:rPr>
          <w:t>Sjoquist KM</w:t>
        </w:r>
      </w:hyperlink>
      <w:r w:rsidR="0024589B" w:rsidRPr="00D066A0">
        <w:rPr>
          <w:rFonts w:eastAsia="標楷體"/>
          <w:szCs w:val="24"/>
        </w:rPr>
        <w:t>，</w:t>
      </w:r>
      <w:hyperlink r:id="rId25" w:history="1">
        <w:r w:rsidR="0024589B" w:rsidRPr="00D066A0">
          <w:rPr>
            <w:rFonts w:eastAsia="標楷體"/>
            <w:szCs w:val="24"/>
          </w:rPr>
          <w:t>Burmeister BH</w:t>
        </w:r>
      </w:hyperlink>
      <w:r w:rsidR="0024589B" w:rsidRPr="00D066A0">
        <w:rPr>
          <w:rFonts w:eastAsia="標楷體"/>
          <w:szCs w:val="24"/>
        </w:rPr>
        <w:t>，</w:t>
      </w:r>
      <w:hyperlink r:id="rId26" w:history="1">
        <w:r w:rsidR="0024589B" w:rsidRPr="00D066A0">
          <w:rPr>
            <w:rFonts w:eastAsia="標楷體"/>
            <w:szCs w:val="24"/>
          </w:rPr>
          <w:t>Smithers BM</w:t>
        </w:r>
      </w:hyperlink>
      <w:r w:rsidR="0024589B" w:rsidRPr="00D066A0">
        <w:rPr>
          <w:rFonts w:eastAsia="標楷體"/>
          <w:szCs w:val="24"/>
        </w:rPr>
        <w:t>et al.Survival after neoadjuvant chemotherapy or chemoradiotherapy for resectableoesophageal carcinoma</w:t>
      </w:r>
      <w:r w:rsidR="0024589B" w:rsidRPr="00D066A0">
        <w:rPr>
          <w:rFonts w:eastAsia="標楷體"/>
          <w:szCs w:val="24"/>
        </w:rPr>
        <w:t>：</w:t>
      </w:r>
      <w:r w:rsidR="0024589B" w:rsidRPr="00D066A0">
        <w:rPr>
          <w:rFonts w:eastAsia="標楷體"/>
          <w:szCs w:val="24"/>
        </w:rPr>
        <w:t xml:space="preserve">an updated meta-analysis. </w:t>
      </w:r>
      <w:hyperlink r:id="rId27" w:tooltip="The lancet oncology." w:history="1">
        <w:r w:rsidR="0024589B" w:rsidRPr="00D066A0">
          <w:rPr>
            <w:rFonts w:eastAsia="標楷體"/>
            <w:szCs w:val="24"/>
          </w:rPr>
          <w:t>Lancet Oncol.</w:t>
        </w:r>
      </w:hyperlink>
      <w:r w:rsidR="0024589B" w:rsidRPr="00D066A0">
        <w:rPr>
          <w:rFonts w:eastAsia="標楷體"/>
          <w:szCs w:val="24"/>
        </w:rPr>
        <w:t xml:space="preserve"> 2011</w:t>
      </w:r>
      <w:r w:rsidR="0024589B" w:rsidRPr="00D066A0">
        <w:rPr>
          <w:rFonts w:eastAsia="標楷體"/>
          <w:szCs w:val="24"/>
        </w:rPr>
        <w:t>；</w:t>
      </w:r>
      <w:r w:rsidR="0024589B" w:rsidRPr="00D066A0">
        <w:rPr>
          <w:rFonts w:eastAsia="標楷體"/>
          <w:szCs w:val="24"/>
        </w:rPr>
        <w:t>12(7)</w:t>
      </w:r>
      <w:r w:rsidR="0024589B" w:rsidRPr="00D066A0">
        <w:rPr>
          <w:rFonts w:eastAsia="標楷體"/>
          <w:szCs w:val="24"/>
        </w:rPr>
        <w:t>：</w:t>
      </w:r>
      <w:r w:rsidR="0024589B" w:rsidRPr="00D066A0">
        <w:rPr>
          <w:rFonts w:eastAsia="標楷體"/>
          <w:szCs w:val="24"/>
        </w:rPr>
        <w:t>681-92.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snapToGrid w:val="0"/>
        <w:spacing w:line="200" w:lineRule="atLeast"/>
        <w:ind w:left="482" w:hanging="482"/>
        <w:jc w:val="both"/>
        <w:outlineLvl w:val="0"/>
        <w:rPr>
          <w:rFonts w:eastAsia="標楷體"/>
          <w:szCs w:val="24"/>
        </w:rPr>
      </w:pPr>
      <w:r w:rsidRPr="00D066A0">
        <w:rPr>
          <w:rFonts w:eastAsia="標楷體"/>
          <w:szCs w:val="24"/>
        </w:rPr>
        <w:t>Wang YC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Chen SW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Chien CR et al. Radiotherapy for esophageal cancer using simultaneous integrated boost techniques</w:t>
      </w:r>
      <w:r w:rsidRPr="00D066A0">
        <w:rPr>
          <w:rFonts w:eastAsia="標楷體"/>
          <w:szCs w:val="24"/>
        </w:rPr>
        <w:t>：</w:t>
      </w:r>
      <w:r w:rsidRPr="00D066A0">
        <w:rPr>
          <w:rFonts w:eastAsia="標楷體"/>
          <w:szCs w:val="24"/>
        </w:rPr>
        <w:t>dosimetric comparison of helical TomoTherapy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Volumetric-modulated Arc Therapy (RapidArc) and dynamic intensity-modulated radiotherapy.</w:t>
      </w:r>
      <w:r w:rsidRPr="00D066A0">
        <w:rPr>
          <w:rStyle w:val="jrnl"/>
          <w:rFonts w:eastAsia="標楷體"/>
          <w:szCs w:val="24"/>
        </w:rPr>
        <w:t>Technol Cancer Res Treat</w:t>
      </w:r>
      <w:r w:rsidRPr="00D066A0">
        <w:rPr>
          <w:rFonts w:eastAsia="標楷體"/>
          <w:szCs w:val="24"/>
        </w:rPr>
        <w:t>. 2013</w:t>
      </w:r>
      <w:r w:rsidRPr="00D066A0">
        <w:rPr>
          <w:rFonts w:eastAsia="標楷體"/>
          <w:szCs w:val="24"/>
        </w:rPr>
        <w:t>；</w:t>
      </w:r>
      <w:r w:rsidRPr="00D066A0">
        <w:rPr>
          <w:rFonts w:eastAsia="標楷體"/>
          <w:szCs w:val="24"/>
        </w:rPr>
        <w:t>12(6)</w:t>
      </w:r>
      <w:r w:rsidRPr="00D066A0">
        <w:rPr>
          <w:rFonts w:eastAsia="標楷體"/>
          <w:szCs w:val="24"/>
        </w:rPr>
        <w:t>：</w:t>
      </w:r>
      <w:r w:rsidRPr="00D066A0">
        <w:rPr>
          <w:rFonts w:eastAsia="標楷體"/>
          <w:szCs w:val="24"/>
        </w:rPr>
        <w:t>485-91.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snapToGrid w:val="0"/>
        <w:spacing w:line="200" w:lineRule="atLeast"/>
        <w:ind w:left="482" w:hanging="482"/>
        <w:jc w:val="both"/>
        <w:outlineLvl w:val="0"/>
        <w:rPr>
          <w:rFonts w:eastAsia="標楷體"/>
          <w:szCs w:val="24"/>
        </w:rPr>
      </w:pPr>
      <w:r w:rsidRPr="00D066A0">
        <w:rPr>
          <w:rFonts w:eastAsia="標楷體"/>
          <w:kern w:val="0"/>
          <w:szCs w:val="24"/>
        </w:rPr>
        <w:t>Liyang J</w:t>
      </w:r>
      <w:r w:rsidRPr="00D066A0">
        <w:rPr>
          <w:rFonts w:eastAsia="標楷體"/>
          <w:kern w:val="0"/>
          <w:szCs w:val="24"/>
        </w:rPr>
        <w:t>，</w:t>
      </w:r>
      <w:r w:rsidRPr="00D066A0">
        <w:rPr>
          <w:rFonts w:eastAsia="標楷體"/>
          <w:kern w:val="0"/>
          <w:szCs w:val="24"/>
        </w:rPr>
        <w:t>Xin Z Xue M</w:t>
      </w:r>
      <w:r w:rsidRPr="00D066A0">
        <w:rPr>
          <w:rFonts w:eastAsia="標楷體"/>
          <w:kern w:val="0"/>
          <w:szCs w:val="24"/>
        </w:rPr>
        <w:t>，</w:t>
      </w:r>
      <w:r w:rsidRPr="00D066A0">
        <w:rPr>
          <w:rFonts w:eastAsia="標楷體"/>
          <w:kern w:val="0"/>
          <w:szCs w:val="24"/>
        </w:rPr>
        <w:t>Jinming Y. Involved field irradiation for the treatment of esophageal cancer</w:t>
      </w:r>
      <w:r w:rsidRPr="00D066A0">
        <w:rPr>
          <w:rFonts w:eastAsia="標楷體"/>
          <w:kern w:val="0"/>
          <w:szCs w:val="24"/>
        </w:rPr>
        <w:t>：</w:t>
      </w:r>
      <w:r w:rsidRPr="00D066A0">
        <w:rPr>
          <w:rFonts w:eastAsia="標楷體"/>
          <w:kern w:val="0"/>
          <w:szCs w:val="24"/>
        </w:rPr>
        <w:t xml:space="preserve">Is it better than elective nodal irradiation? </w:t>
      </w:r>
      <w:r w:rsidRPr="00D066A0">
        <w:rPr>
          <w:rStyle w:val="highlight2"/>
          <w:rFonts w:eastAsia="標楷體"/>
          <w:bCs/>
          <w:szCs w:val="24"/>
        </w:rPr>
        <w:t>Cance</w:t>
      </w:r>
      <w:r w:rsidRPr="00D066A0">
        <w:rPr>
          <w:rStyle w:val="highlight2"/>
          <w:rFonts w:eastAsia="標楷體"/>
          <w:bCs/>
          <w:szCs w:val="24"/>
          <w:shd w:val="clear" w:color="auto" w:fill="FFFFCC"/>
        </w:rPr>
        <w:t>r</w:t>
      </w:r>
      <w:r w:rsidRPr="00D066A0">
        <w:rPr>
          <w:rStyle w:val="jrnl"/>
          <w:rFonts w:eastAsia="標楷體"/>
          <w:szCs w:val="24"/>
        </w:rPr>
        <w:t>Lett</w:t>
      </w:r>
      <w:r w:rsidRPr="00D066A0">
        <w:rPr>
          <w:rFonts w:eastAsia="標楷體"/>
          <w:szCs w:val="24"/>
        </w:rPr>
        <w:t>. 2015</w:t>
      </w:r>
      <w:r w:rsidRPr="00D066A0">
        <w:rPr>
          <w:rFonts w:eastAsia="標楷體"/>
          <w:szCs w:val="24"/>
        </w:rPr>
        <w:t>；</w:t>
      </w:r>
      <w:r w:rsidRPr="00D066A0">
        <w:rPr>
          <w:rFonts w:eastAsia="標楷體"/>
          <w:szCs w:val="24"/>
        </w:rPr>
        <w:t>357(1)</w:t>
      </w:r>
      <w:r w:rsidRPr="00D066A0">
        <w:rPr>
          <w:rFonts w:eastAsia="標楷體"/>
          <w:szCs w:val="24"/>
        </w:rPr>
        <w:t>：</w:t>
      </w:r>
      <w:r w:rsidRPr="00D066A0">
        <w:rPr>
          <w:rFonts w:eastAsia="標楷體"/>
          <w:szCs w:val="24"/>
        </w:rPr>
        <w:t>69-74.</w:t>
      </w:r>
    </w:p>
    <w:p w:rsidR="0024589B" w:rsidRPr="00D066A0" w:rsidRDefault="0022486C" w:rsidP="004F2BC4">
      <w:pPr>
        <w:widowControl/>
        <w:numPr>
          <w:ilvl w:val="0"/>
          <w:numId w:val="2"/>
        </w:numPr>
        <w:shd w:val="clear" w:color="auto" w:fill="FFFFFF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0"/>
          <w:szCs w:val="24"/>
        </w:rPr>
      </w:pPr>
      <w:hyperlink r:id="rId28" w:history="1">
        <w:r w:rsidR="0024589B" w:rsidRPr="00D066A0">
          <w:rPr>
            <w:rFonts w:eastAsia="標楷體"/>
            <w:kern w:val="0"/>
            <w:szCs w:val="24"/>
          </w:rPr>
          <w:t>Van De Voorde L</w:t>
        </w:r>
      </w:hyperlink>
      <w:r w:rsidR="0024589B" w:rsidRPr="00D066A0">
        <w:rPr>
          <w:rFonts w:eastAsia="標楷體"/>
          <w:kern w:val="0"/>
          <w:szCs w:val="24"/>
        </w:rPr>
        <w:t>，</w:t>
      </w:r>
      <w:hyperlink r:id="rId29" w:history="1">
        <w:r w:rsidR="0024589B" w:rsidRPr="00D066A0">
          <w:rPr>
            <w:rFonts w:eastAsia="標楷體"/>
            <w:kern w:val="0"/>
            <w:szCs w:val="24"/>
          </w:rPr>
          <w:t>Larue RT</w:t>
        </w:r>
      </w:hyperlink>
      <w:r w:rsidR="0024589B" w:rsidRPr="00D066A0">
        <w:rPr>
          <w:rFonts w:eastAsia="標楷體"/>
          <w:kern w:val="0"/>
          <w:szCs w:val="24"/>
        </w:rPr>
        <w:t>，</w:t>
      </w:r>
      <w:hyperlink r:id="rId30" w:history="1">
        <w:r w:rsidR="0024589B" w:rsidRPr="00D066A0">
          <w:rPr>
            <w:rFonts w:eastAsia="標楷體"/>
            <w:kern w:val="0"/>
            <w:szCs w:val="24"/>
          </w:rPr>
          <w:t>Pijls M</w:t>
        </w:r>
      </w:hyperlink>
      <w:r w:rsidR="0024589B" w:rsidRPr="00D066A0">
        <w:rPr>
          <w:rFonts w:eastAsia="標楷體"/>
          <w:kern w:val="0"/>
          <w:szCs w:val="24"/>
        </w:rPr>
        <w:t xml:space="preserve"> et al. A qualitative synthesis of the evidence behind elective lymph node irradiation in oesophageal cancer. </w:t>
      </w:r>
      <w:hyperlink r:id="rId31" w:tooltip="Radiotherapy and oncology : journal of the European Society for Therapeutic Radiology and Oncology." w:history="1">
        <w:r w:rsidR="0024589B" w:rsidRPr="00D066A0">
          <w:rPr>
            <w:rFonts w:eastAsia="標楷體"/>
            <w:kern w:val="0"/>
            <w:szCs w:val="24"/>
          </w:rPr>
          <w:t>Radiother Oncol.</w:t>
        </w:r>
      </w:hyperlink>
      <w:r w:rsidR="0024589B" w:rsidRPr="00D066A0">
        <w:rPr>
          <w:rFonts w:eastAsia="標楷體"/>
          <w:kern w:val="0"/>
          <w:szCs w:val="24"/>
        </w:rPr>
        <w:t xml:space="preserve"> 2014</w:t>
      </w:r>
      <w:r w:rsidR="0024589B" w:rsidRPr="00D066A0">
        <w:rPr>
          <w:rFonts w:eastAsia="標楷體"/>
          <w:kern w:val="0"/>
          <w:szCs w:val="24"/>
        </w:rPr>
        <w:t>；</w:t>
      </w:r>
      <w:r w:rsidR="0024589B" w:rsidRPr="00D066A0">
        <w:rPr>
          <w:rFonts w:eastAsia="標楷體"/>
          <w:kern w:val="0"/>
          <w:szCs w:val="24"/>
        </w:rPr>
        <w:t>113(2)</w:t>
      </w:r>
      <w:r w:rsidR="0024589B" w:rsidRPr="00D066A0">
        <w:rPr>
          <w:rFonts w:eastAsia="標楷體"/>
          <w:kern w:val="0"/>
          <w:szCs w:val="24"/>
        </w:rPr>
        <w:t>：</w:t>
      </w:r>
      <w:r w:rsidR="0024589B" w:rsidRPr="00D066A0">
        <w:rPr>
          <w:rFonts w:eastAsia="標楷體"/>
          <w:kern w:val="0"/>
          <w:szCs w:val="24"/>
        </w:rPr>
        <w:t>166-74.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snapToGrid w:val="0"/>
        <w:spacing w:line="200" w:lineRule="atLeast"/>
        <w:ind w:left="482" w:hanging="482"/>
        <w:jc w:val="both"/>
        <w:outlineLvl w:val="0"/>
        <w:rPr>
          <w:rFonts w:eastAsia="標楷體"/>
          <w:bCs/>
          <w:kern w:val="36"/>
          <w:szCs w:val="24"/>
        </w:rPr>
      </w:pPr>
      <w:r w:rsidRPr="00D066A0">
        <w:rPr>
          <w:rFonts w:eastAsia="標楷體"/>
          <w:szCs w:val="24"/>
          <w:shd w:val="clear" w:color="auto" w:fill="FFFFFF"/>
        </w:rPr>
        <w:t>Shapiro J</w:t>
      </w:r>
      <w:r w:rsidRPr="00D066A0">
        <w:rPr>
          <w:rFonts w:eastAsia="標楷體"/>
          <w:szCs w:val="24"/>
          <w:shd w:val="clear" w:color="auto" w:fill="FFFFFF"/>
        </w:rPr>
        <w:t>，</w:t>
      </w:r>
      <w:r w:rsidRPr="00D066A0">
        <w:rPr>
          <w:rFonts w:eastAsia="標楷體"/>
          <w:szCs w:val="24"/>
          <w:shd w:val="clear" w:color="auto" w:fill="FFFFFF"/>
        </w:rPr>
        <w:t>van Lanschot JJ</w:t>
      </w:r>
      <w:r w:rsidRPr="00D066A0">
        <w:rPr>
          <w:rFonts w:eastAsia="標楷體"/>
          <w:szCs w:val="24"/>
          <w:shd w:val="clear" w:color="auto" w:fill="FFFFFF"/>
        </w:rPr>
        <w:t>，</w:t>
      </w:r>
      <w:r w:rsidRPr="00D066A0">
        <w:rPr>
          <w:rFonts w:eastAsia="標楷體"/>
          <w:szCs w:val="24"/>
          <w:shd w:val="clear" w:color="auto" w:fill="FFFFFF"/>
        </w:rPr>
        <w:t>Hulshof MC</w:t>
      </w:r>
      <w:r w:rsidRPr="00D066A0">
        <w:rPr>
          <w:rFonts w:eastAsia="標楷體"/>
          <w:bCs/>
          <w:kern w:val="36"/>
          <w:szCs w:val="24"/>
        </w:rPr>
        <w:t xml:space="preserve"> et al. Neoadjuvantchemoradiotherapy plus surgery versus surgery alone for oesophageal or junctional cancer (CROSS)</w:t>
      </w:r>
      <w:r w:rsidRPr="00D066A0">
        <w:rPr>
          <w:rFonts w:eastAsia="標楷體"/>
          <w:bCs/>
          <w:kern w:val="36"/>
          <w:szCs w:val="24"/>
        </w:rPr>
        <w:t>：</w:t>
      </w:r>
      <w:r w:rsidRPr="00D066A0">
        <w:rPr>
          <w:rFonts w:eastAsia="標楷體"/>
          <w:bCs/>
          <w:kern w:val="36"/>
          <w:szCs w:val="24"/>
        </w:rPr>
        <w:t xml:space="preserve">long-term results of a randomised controlled trial. </w:t>
      </w:r>
      <w:hyperlink r:id="rId32" w:tooltip="The Lancet. Oncology." w:history="1">
        <w:r w:rsidRPr="00D066A0">
          <w:rPr>
            <w:rFonts w:eastAsia="標楷體"/>
            <w:szCs w:val="24"/>
            <w:shd w:val="clear" w:color="auto" w:fill="FFFFFF"/>
          </w:rPr>
          <w:t>Lancet Oncol.</w:t>
        </w:r>
      </w:hyperlink>
      <w:r w:rsidRPr="00D066A0">
        <w:rPr>
          <w:rFonts w:eastAsia="標楷體"/>
          <w:szCs w:val="24"/>
          <w:shd w:val="clear" w:color="auto" w:fill="FFFFFF"/>
        </w:rPr>
        <w:t xml:space="preserve"> 2015 (9)</w:t>
      </w:r>
      <w:r w:rsidRPr="00D066A0">
        <w:rPr>
          <w:rFonts w:eastAsia="標楷體"/>
          <w:szCs w:val="24"/>
          <w:shd w:val="clear" w:color="auto" w:fill="FFFFFF"/>
        </w:rPr>
        <w:t>：</w:t>
      </w:r>
      <w:r w:rsidRPr="00D066A0">
        <w:rPr>
          <w:rFonts w:eastAsia="標楷體"/>
          <w:szCs w:val="24"/>
          <w:shd w:val="clear" w:color="auto" w:fill="FFFFFF"/>
        </w:rPr>
        <w:t>1090-8.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0"/>
          <w:szCs w:val="24"/>
        </w:rPr>
      </w:pPr>
      <w:r w:rsidRPr="00D066A0">
        <w:rPr>
          <w:rFonts w:eastAsia="標楷體"/>
          <w:szCs w:val="24"/>
        </w:rPr>
        <w:t>Yamashita H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Takenaka R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 xml:space="preserve">Omori M et al. </w:t>
      </w:r>
      <w:r w:rsidRPr="00D066A0">
        <w:rPr>
          <w:rFonts w:eastAsia="標楷體"/>
          <w:bCs/>
          <w:szCs w:val="24"/>
        </w:rPr>
        <w:t>Involved-field radiotherapy (IFRT) versus elective nodal irradiation (ENI) in combination with concurrent chemotherapy for 239 esophageal cancers</w:t>
      </w:r>
      <w:r w:rsidRPr="00D066A0">
        <w:rPr>
          <w:rFonts w:eastAsia="標楷體"/>
          <w:bCs/>
          <w:szCs w:val="24"/>
        </w:rPr>
        <w:t>：</w:t>
      </w:r>
      <w:r w:rsidRPr="00D066A0">
        <w:rPr>
          <w:rFonts w:eastAsia="標楷體"/>
          <w:bCs/>
          <w:szCs w:val="24"/>
        </w:rPr>
        <w:t xml:space="preserve">a single institutional retrospective study. </w:t>
      </w:r>
      <w:r w:rsidRPr="00D066A0">
        <w:rPr>
          <w:rFonts w:eastAsia="標楷體"/>
          <w:szCs w:val="24"/>
        </w:rPr>
        <w:t>RadiatOncol. 2015</w:t>
      </w:r>
      <w:r w:rsidRPr="00D066A0">
        <w:rPr>
          <w:rFonts w:eastAsia="標楷體"/>
          <w:szCs w:val="24"/>
        </w:rPr>
        <w:t>；</w:t>
      </w:r>
      <w:r w:rsidRPr="00D066A0">
        <w:rPr>
          <w:rFonts w:eastAsia="標楷體"/>
          <w:szCs w:val="24"/>
        </w:rPr>
        <w:t>10</w:t>
      </w:r>
      <w:r w:rsidRPr="00D066A0">
        <w:rPr>
          <w:rFonts w:eastAsia="標楷體"/>
          <w:szCs w:val="24"/>
        </w:rPr>
        <w:t>：</w:t>
      </w:r>
      <w:r w:rsidRPr="00D066A0">
        <w:rPr>
          <w:rFonts w:eastAsia="標楷體"/>
          <w:szCs w:val="24"/>
        </w:rPr>
        <w:t>171.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0"/>
          <w:szCs w:val="24"/>
        </w:rPr>
      </w:pPr>
      <w:r w:rsidRPr="00D066A0">
        <w:rPr>
          <w:rFonts w:eastAsia="標楷體"/>
          <w:szCs w:val="24"/>
          <w:shd w:val="clear" w:color="auto" w:fill="FFFFFF"/>
        </w:rPr>
        <w:t>Chen SB</w:t>
      </w:r>
      <w:r w:rsidRPr="00D066A0">
        <w:rPr>
          <w:rFonts w:eastAsia="標楷體"/>
          <w:szCs w:val="24"/>
          <w:shd w:val="clear" w:color="auto" w:fill="FFFFFF"/>
        </w:rPr>
        <w:t>，</w:t>
      </w:r>
      <w:r w:rsidRPr="00D066A0">
        <w:rPr>
          <w:rFonts w:eastAsia="標楷體"/>
          <w:szCs w:val="24"/>
          <w:shd w:val="clear" w:color="auto" w:fill="FFFFFF"/>
        </w:rPr>
        <w:t>Weng HR</w:t>
      </w:r>
      <w:r w:rsidRPr="00D066A0">
        <w:rPr>
          <w:rFonts w:eastAsia="標楷體"/>
          <w:szCs w:val="24"/>
          <w:shd w:val="clear" w:color="auto" w:fill="FFFFFF"/>
        </w:rPr>
        <w:t>，</w:t>
      </w:r>
      <w:r w:rsidRPr="00D066A0">
        <w:rPr>
          <w:rFonts w:eastAsia="標楷體"/>
          <w:szCs w:val="24"/>
          <w:shd w:val="clear" w:color="auto" w:fill="FFFFFF"/>
        </w:rPr>
        <w:t>Wang G</w:t>
      </w:r>
      <w:r w:rsidRPr="00D066A0">
        <w:rPr>
          <w:rFonts w:eastAsia="標楷體"/>
          <w:szCs w:val="24"/>
        </w:rPr>
        <w:t xml:space="preserve"> et al. </w:t>
      </w:r>
      <w:r w:rsidRPr="00D066A0">
        <w:rPr>
          <w:rFonts w:eastAsia="標楷體"/>
          <w:bCs/>
          <w:szCs w:val="24"/>
        </w:rPr>
        <w:t xml:space="preserve">The impact of adjuvant radiotherapy on radically resected T3 esophageal squamous cell carcinoma. </w:t>
      </w:r>
      <w:r w:rsidRPr="00D066A0">
        <w:rPr>
          <w:rFonts w:eastAsia="標楷體"/>
          <w:szCs w:val="24"/>
        </w:rPr>
        <w:t>J Cancer Res ClinOncol. 2016 Jan</w:t>
      </w:r>
      <w:r w:rsidRPr="00D066A0">
        <w:rPr>
          <w:rFonts w:eastAsia="標楷體"/>
          <w:szCs w:val="24"/>
        </w:rPr>
        <w:t>；</w:t>
      </w:r>
      <w:r w:rsidRPr="00D066A0">
        <w:rPr>
          <w:rFonts w:eastAsia="標楷體"/>
          <w:szCs w:val="24"/>
        </w:rPr>
        <w:t>142(1)</w:t>
      </w:r>
      <w:r w:rsidRPr="00D066A0">
        <w:rPr>
          <w:rFonts w:eastAsia="標楷體"/>
          <w:szCs w:val="24"/>
        </w:rPr>
        <w:t>：</w:t>
      </w:r>
      <w:r w:rsidRPr="00D066A0">
        <w:rPr>
          <w:rFonts w:eastAsia="標楷體"/>
          <w:szCs w:val="24"/>
        </w:rPr>
        <w:t>277-86.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0"/>
          <w:szCs w:val="24"/>
        </w:rPr>
      </w:pPr>
      <w:r w:rsidRPr="00D066A0">
        <w:rPr>
          <w:rFonts w:eastAsia="標楷體"/>
          <w:szCs w:val="24"/>
        </w:rPr>
        <w:t>Wang Jing1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Hui Zhu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 xml:space="preserve">HongboGuo et al. </w:t>
      </w:r>
      <w:r w:rsidRPr="00D066A0">
        <w:rPr>
          <w:rFonts w:eastAsia="標楷體"/>
          <w:bCs/>
          <w:kern w:val="0"/>
          <w:szCs w:val="24"/>
        </w:rPr>
        <w:t>Feasibility of Elective Nodal Irradiation (ENI) and Involved Field Irradiation (IFI) in Radiotherapy for the Elderly Patients (Aged ≥ 70 Years) with Esophageal Squamous Cell Cancer</w:t>
      </w:r>
      <w:r w:rsidRPr="00D066A0">
        <w:rPr>
          <w:rFonts w:eastAsia="標楷體"/>
          <w:bCs/>
          <w:kern w:val="0"/>
          <w:szCs w:val="24"/>
        </w:rPr>
        <w:t>：</w:t>
      </w:r>
      <w:r w:rsidRPr="00D066A0">
        <w:rPr>
          <w:rFonts w:eastAsia="標楷體"/>
          <w:bCs/>
          <w:kern w:val="0"/>
          <w:szCs w:val="24"/>
        </w:rPr>
        <w:t xml:space="preserve"> A Retrospective Analysis from a Single Institute. </w:t>
      </w:r>
      <w:hyperlink r:id="rId33" w:history="1">
        <w:r w:rsidRPr="00D066A0">
          <w:rPr>
            <w:rFonts w:eastAsia="標楷體"/>
            <w:szCs w:val="24"/>
          </w:rPr>
          <w:t>PLoS One.</w:t>
        </w:r>
      </w:hyperlink>
      <w:r w:rsidRPr="00D066A0">
        <w:rPr>
          <w:rFonts w:eastAsia="標楷體"/>
          <w:szCs w:val="24"/>
        </w:rPr>
        <w:t xml:space="preserve"> 2015</w:t>
      </w:r>
      <w:r w:rsidRPr="00D066A0">
        <w:rPr>
          <w:rFonts w:eastAsia="標楷體"/>
          <w:szCs w:val="24"/>
        </w:rPr>
        <w:t>；</w:t>
      </w:r>
      <w:r w:rsidRPr="00D066A0">
        <w:rPr>
          <w:rFonts w:eastAsia="標楷體"/>
          <w:szCs w:val="24"/>
        </w:rPr>
        <w:t>10(12)</w:t>
      </w:r>
      <w:r w:rsidRPr="00D066A0">
        <w:rPr>
          <w:rFonts w:eastAsia="標楷體"/>
          <w:szCs w:val="24"/>
        </w:rPr>
        <w:t>：</w:t>
      </w:r>
      <w:r w:rsidRPr="00D066A0">
        <w:rPr>
          <w:rFonts w:eastAsia="標楷體"/>
          <w:szCs w:val="24"/>
        </w:rPr>
        <w:t>e0143007.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bCs/>
          <w:szCs w:val="24"/>
        </w:rPr>
      </w:pPr>
      <w:r w:rsidRPr="00D066A0">
        <w:rPr>
          <w:rFonts w:eastAsia="標楷體"/>
          <w:szCs w:val="24"/>
        </w:rPr>
        <w:t>Song T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Liang X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Fang M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 xml:space="preserve">Wu S.et al. </w:t>
      </w:r>
      <w:hyperlink r:id="rId34" w:history="1">
        <w:r w:rsidRPr="00D066A0">
          <w:rPr>
            <w:rFonts w:eastAsia="標楷體"/>
            <w:bCs/>
            <w:szCs w:val="24"/>
          </w:rPr>
          <w:t>High-dose versus conventional-dose irradiation in cisplatin-based definitive concurrent chemoradiotherapy for esophageal cancer</w:t>
        </w:r>
        <w:r w:rsidRPr="00D066A0">
          <w:rPr>
            <w:rFonts w:eastAsia="標楷體"/>
            <w:bCs/>
            <w:szCs w:val="24"/>
          </w:rPr>
          <w:t>：</w:t>
        </w:r>
        <w:r w:rsidRPr="00D066A0">
          <w:rPr>
            <w:rFonts w:eastAsia="標楷體"/>
            <w:bCs/>
            <w:szCs w:val="24"/>
          </w:rPr>
          <w:t>a systematic review and pooled analysis.</w:t>
        </w:r>
      </w:hyperlink>
      <w:r w:rsidRPr="00D066A0">
        <w:rPr>
          <w:rFonts w:eastAsia="標楷體"/>
          <w:bCs/>
          <w:szCs w:val="24"/>
        </w:rPr>
        <w:t xml:space="preserve"> Expert Rev Anticancer Ther. 2015 (10)</w:t>
      </w:r>
      <w:r w:rsidRPr="00D066A0">
        <w:rPr>
          <w:rFonts w:eastAsia="標楷體"/>
          <w:bCs/>
          <w:szCs w:val="24"/>
        </w:rPr>
        <w:t>：</w:t>
      </w:r>
      <w:r w:rsidRPr="00D066A0">
        <w:rPr>
          <w:rFonts w:eastAsia="標楷體"/>
          <w:bCs/>
          <w:szCs w:val="24"/>
        </w:rPr>
        <w:t>1157-69</w:t>
      </w:r>
    </w:p>
    <w:p w:rsidR="0024589B" w:rsidRPr="00D066A0" w:rsidRDefault="0022486C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36"/>
          <w:szCs w:val="24"/>
        </w:rPr>
      </w:pPr>
      <w:hyperlink r:id="rId35" w:history="1">
        <w:r w:rsidR="0024589B" w:rsidRPr="00D066A0">
          <w:rPr>
            <w:rFonts w:eastAsia="標楷體"/>
            <w:bCs/>
            <w:szCs w:val="24"/>
          </w:rPr>
          <w:t>Hwang JY</w:t>
        </w:r>
      </w:hyperlink>
      <w:r w:rsidR="0024589B" w:rsidRPr="00D066A0">
        <w:rPr>
          <w:rFonts w:eastAsia="標楷體"/>
          <w:bCs/>
          <w:szCs w:val="24"/>
        </w:rPr>
        <w:t>，</w:t>
      </w:r>
      <w:hyperlink r:id="rId36" w:history="1">
        <w:r w:rsidR="0024589B" w:rsidRPr="00D066A0">
          <w:rPr>
            <w:rFonts w:eastAsia="標楷體"/>
            <w:bCs/>
            <w:szCs w:val="24"/>
          </w:rPr>
          <w:t>Chen HS</w:t>
        </w:r>
      </w:hyperlink>
      <w:r w:rsidR="0024589B" w:rsidRPr="00D066A0">
        <w:rPr>
          <w:rFonts w:eastAsia="標楷體"/>
          <w:bCs/>
          <w:szCs w:val="24"/>
        </w:rPr>
        <w:t>，</w:t>
      </w:r>
      <w:hyperlink r:id="rId37" w:history="1">
        <w:r w:rsidR="0024589B" w:rsidRPr="00D066A0">
          <w:rPr>
            <w:rFonts w:eastAsia="標楷體"/>
            <w:bCs/>
            <w:szCs w:val="24"/>
          </w:rPr>
          <w:t>Hsu PK</w:t>
        </w:r>
      </w:hyperlink>
      <w:r w:rsidR="0024589B" w:rsidRPr="00D066A0">
        <w:rPr>
          <w:rFonts w:eastAsia="標楷體"/>
          <w:bCs/>
          <w:szCs w:val="24"/>
        </w:rPr>
        <w:t xml:space="preserve"> et. al. A Propensity-matched Analysis Comparing Survival A</w:t>
      </w:r>
      <w:r w:rsidR="0024589B" w:rsidRPr="00D066A0">
        <w:rPr>
          <w:rFonts w:eastAsia="標楷體"/>
          <w:kern w:val="36"/>
          <w:szCs w:val="24"/>
        </w:rPr>
        <w:t xml:space="preserve">fterEsophagectomy Followed by Adjuvant Chemoradiation to Surgery Alone for Esophageal Squamous Cell Carcinoma. </w:t>
      </w:r>
      <w:hyperlink r:id="rId38" w:tooltip="Annals of surgery." w:history="1">
        <w:r w:rsidR="0024589B" w:rsidRPr="00D066A0">
          <w:rPr>
            <w:rStyle w:val="a5"/>
            <w:rFonts w:eastAsia="標楷體"/>
            <w:szCs w:val="24"/>
            <w:shd w:val="clear" w:color="auto" w:fill="FFFFFF"/>
          </w:rPr>
          <w:t>Ann Surg.</w:t>
        </w:r>
      </w:hyperlink>
      <w:r w:rsidR="0024589B" w:rsidRPr="00D066A0">
        <w:rPr>
          <w:rStyle w:val="apple-converted-space"/>
          <w:rFonts w:eastAsia="標楷體"/>
          <w:szCs w:val="24"/>
          <w:shd w:val="clear" w:color="auto" w:fill="FFFFFF"/>
        </w:rPr>
        <w:t> </w:t>
      </w:r>
      <w:r w:rsidR="0024589B" w:rsidRPr="00D066A0">
        <w:rPr>
          <w:rFonts w:eastAsia="標楷體"/>
          <w:szCs w:val="24"/>
          <w:shd w:val="clear" w:color="auto" w:fill="FFFFFF"/>
        </w:rPr>
        <w:t>2016 Jul</w:t>
      </w:r>
      <w:r w:rsidR="0024589B" w:rsidRPr="00D066A0">
        <w:rPr>
          <w:rFonts w:eastAsia="標楷體"/>
          <w:szCs w:val="24"/>
          <w:shd w:val="clear" w:color="auto" w:fill="FFFFFF"/>
        </w:rPr>
        <w:t>；</w:t>
      </w:r>
      <w:r w:rsidR="0024589B" w:rsidRPr="00D066A0">
        <w:rPr>
          <w:rFonts w:eastAsia="標楷體"/>
          <w:szCs w:val="24"/>
          <w:shd w:val="clear" w:color="auto" w:fill="FFFFFF"/>
        </w:rPr>
        <w:t>264(1)</w:t>
      </w:r>
      <w:r w:rsidR="0024589B" w:rsidRPr="00D066A0">
        <w:rPr>
          <w:rFonts w:eastAsia="標楷體"/>
          <w:szCs w:val="24"/>
          <w:shd w:val="clear" w:color="auto" w:fill="FFFFFF"/>
        </w:rPr>
        <w:t>：</w:t>
      </w:r>
      <w:r w:rsidR="0024589B" w:rsidRPr="00D066A0">
        <w:rPr>
          <w:rFonts w:eastAsia="標楷體"/>
          <w:szCs w:val="24"/>
          <w:shd w:val="clear" w:color="auto" w:fill="FFFFFF"/>
        </w:rPr>
        <w:t>100-6</w:t>
      </w:r>
    </w:p>
    <w:p w:rsidR="0024589B" w:rsidRPr="00D066A0" w:rsidRDefault="0022486C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36"/>
          <w:szCs w:val="24"/>
        </w:rPr>
      </w:pPr>
      <w:hyperlink r:id="rId39" w:history="1">
        <w:r w:rsidR="0024589B" w:rsidRPr="00D066A0">
          <w:rPr>
            <w:rFonts w:eastAsia="標楷體"/>
            <w:szCs w:val="24"/>
          </w:rPr>
          <w:t>Li CC</w:t>
        </w:r>
      </w:hyperlink>
      <w:r w:rsidR="0024589B" w:rsidRPr="00D066A0">
        <w:rPr>
          <w:rFonts w:eastAsia="標楷體"/>
          <w:szCs w:val="24"/>
        </w:rPr>
        <w:t>，</w:t>
      </w:r>
      <w:hyperlink r:id="rId40" w:history="1">
        <w:r w:rsidR="0024589B" w:rsidRPr="00D066A0">
          <w:rPr>
            <w:rFonts w:eastAsia="標楷體"/>
            <w:szCs w:val="24"/>
          </w:rPr>
          <w:t>Chen CY</w:t>
        </w:r>
      </w:hyperlink>
      <w:r w:rsidR="0024589B" w:rsidRPr="00D066A0">
        <w:rPr>
          <w:rFonts w:eastAsia="標楷體"/>
          <w:szCs w:val="24"/>
        </w:rPr>
        <w:t>，</w:t>
      </w:r>
      <w:hyperlink r:id="rId41" w:history="1">
        <w:r w:rsidR="0024589B" w:rsidRPr="00D066A0">
          <w:rPr>
            <w:rFonts w:eastAsia="標楷體"/>
            <w:szCs w:val="24"/>
          </w:rPr>
          <w:t>Chien CR</w:t>
        </w:r>
      </w:hyperlink>
      <w:r w:rsidR="0024589B" w:rsidRPr="00D066A0">
        <w:rPr>
          <w:rFonts w:eastAsia="標楷體"/>
          <w:szCs w:val="24"/>
        </w:rPr>
        <w:t>. Comparative effectiveness of image-guided radiotherapy for non-operated localized esophageal squamous cell carcinoma patients receiving concurrent chemoradiotherapy</w:t>
      </w:r>
      <w:r w:rsidR="0024589B" w:rsidRPr="00D066A0">
        <w:rPr>
          <w:rFonts w:eastAsia="標楷體"/>
          <w:szCs w:val="24"/>
        </w:rPr>
        <w:t>：</w:t>
      </w:r>
      <w:r w:rsidR="0024589B" w:rsidRPr="00D066A0">
        <w:rPr>
          <w:rFonts w:eastAsia="標楷體"/>
          <w:szCs w:val="24"/>
        </w:rPr>
        <w:t>A population-based propensity score matched analysis.</w:t>
      </w:r>
      <w:hyperlink r:id="rId42" w:tooltip="Oncotarget." w:history="1">
        <w:r w:rsidR="0024589B" w:rsidRPr="00D066A0">
          <w:rPr>
            <w:rFonts w:eastAsia="標楷體"/>
            <w:szCs w:val="24"/>
          </w:rPr>
          <w:t>Oncotarget.</w:t>
        </w:r>
      </w:hyperlink>
      <w:r w:rsidR="0024589B" w:rsidRPr="00D066A0">
        <w:rPr>
          <w:rFonts w:eastAsia="標楷體"/>
          <w:szCs w:val="24"/>
        </w:rPr>
        <w:t xml:space="preserve"> 2016 Sep 26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36"/>
          <w:szCs w:val="24"/>
        </w:rPr>
      </w:pPr>
      <w:r w:rsidRPr="00D066A0">
        <w:rPr>
          <w:rFonts w:eastAsia="標楷體"/>
          <w:szCs w:val="24"/>
        </w:rPr>
        <w:t>Chen CY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>Li CC</w:t>
      </w:r>
      <w:r w:rsidRPr="00D066A0">
        <w:rPr>
          <w:rFonts w:eastAsia="標楷體"/>
          <w:szCs w:val="24"/>
        </w:rPr>
        <w:t>，</w:t>
      </w:r>
      <w:r w:rsidRPr="00D066A0">
        <w:rPr>
          <w:rFonts w:eastAsia="標楷體"/>
          <w:szCs w:val="24"/>
        </w:rPr>
        <w:t xml:space="preserve">Chien CR.Does higher radiation dose lead to better outcome for non-operated localized esophageal squamous cell carcinoma patients who received concurrent chemoradiotherapy? A population based propensity-score matched analysis. </w:t>
      </w:r>
      <w:hyperlink r:id="rId43" w:anchor="comments" w:history="1">
        <w:r w:rsidRPr="00D066A0">
          <w:rPr>
            <w:rFonts w:eastAsia="標楷體"/>
            <w:vanish/>
            <w:kern w:val="0"/>
            <w:szCs w:val="24"/>
          </w:rPr>
          <w:t>See comment in PubMed Commons below</w:t>
        </w:r>
      </w:hyperlink>
      <w:hyperlink r:id="rId44" w:tooltip="Radiotherapy and oncology : journal of the European Society for Therapeutic Radiology and Oncology." w:history="1">
        <w:r w:rsidRPr="00D066A0">
          <w:rPr>
            <w:rFonts w:eastAsia="標楷體"/>
            <w:kern w:val="0"/>
            <w:szCs w:val="24"/>
          </w:rPr>
          <w:t>Radiother Oncol.</w:t>
        </w:r>
      </w:hyperlink>
      <w:r w:rsidRPr="00D066A0">
        <w:rPr>
          <w:rFonts w:eastAsia="標楷體"/>
          <w:kern w:val="0"/>
          <w:szCs w:val="24"/>
        </w:rPr>
        <w:t xml:space="preserve"> 2016 Jul</w:t>
      </w:r>
      <w:r w:rsidRPr="00D066A0">
        <w:rPr>
          <w:rFonts w:eastAsia="標楷體"/>
          <w:kern w:val="0"/>
          <w:szCs w:val="24"/>
        </w:rPr>
        <w:t>；</w:t>
      </w:r>
      <w:r w:rsidRPr="00D066A0">
        <w:rPr>
          <w:rFonts w:eastAsia="標楷體"/>
          <w:kern w:val="0"/>
          <w:szCs w:val="24"/>
        </w:rPr>
        <w:t>120(1)</w:t>
      </w:r>
      <w:r w:rsidRPr="00D066A0">
        <w:rPr>
          <w:rFonts w:eastAsia="標楷體"/>
          <w:kern w:val="0"/>
          <w:szCs w:val="24"/>
        </w:rPr>
        <w:t>：</w:t>
      </w:r>
      <w:r w:rsidRPr="00D066A0">
        <w:rPr>
          <w:rFonts w:eastAsia="標楷體"/>
          <w:kern w:val="0"/>
          <w:szCs w:val="24"/>
        </w:rPr>
        <w:t>136-9.</w:t>
      </w:r>
    </w:p>
    <w:p w:rsidR="0024589B" w:rsidRPr="00D066A0" w:rsidRDefault="0022486C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36"/>
          <w:szCs w:val="24"/>
        </w:rPr>
      </w:pPr>
      <w:hyperlink r:id="rId45" w:history="1">
        <w:r w:rsidR="0024589B" w:rsidRPr="00D066A0">
          <w:rPr>
            <w:rFonts w:eastAsia="標楷體"/>
            <w:szCs w:val="24"/>
            <w:shd w:val="clear" w:color="auto" w:fill="FFFFFF"/>
          </w:rPr>
          <w:t>Zhao XH</w:t>
        </w:r>
      </w:hyperlink>
      <w:r w:rsidR="0024589B" w:rsidRPr="00D066A0">
        <w:rPr>
          <w:rFonts w:eastAsia="標楷體"/>
          <w:szCs w:val="24"/>
          <w:shd w:val="clear" w:color="auto" w:fill="FFFFFF"/>
        </w:rPr>
        <w:t>，</w:t>
      </w:r>
      <w:r w:rsidR="0024589B" w:rsidRPr="00D066A0">
        <w:rPr>
          <w:rFonts w:eastAsia="標楷體"/>
          <w:szCs w:val="24"/>
          <w:shd w:val="clear" w:color="auto" w:fill="FFFFFF"/>
        </w:rPr>
        <w:t>Wang D</w:t>
      </w:r>
      <w:r w:rsidR="0024589B" w:rsidRPr="00D066A0">
        <w:rPr>
          <w:rFonts w:eastAsia="標楷體"/>
          <w:szCs w:val="24"/>
          <w:shd w:val="clear" w:color="auto" w:fill="FFFFFF"/>
        </w:rPr>
        <w:t>，</w:t>
      </w:r>
      <w:r w:rsidR="0024589B" w:rsidRPr="00D066A0">
        <w:rPr>
          <w:rFonts w:eastAsia="標楷體"/>
          <w:szCs w:val="24"/>
          <w:shd w:val="clear" w:color="auto" w:fill="FFFFFF"/>
        </w:rPr>
        <w:t>Wang F</w:t>
      </w:r>
      <w:r w:rsidR="0024589B" w:rsidRPr="00D066A0">
        <w:rPr>
          <w:rFonts w:eastAsia="標楷體"/>
          <w:szCs w:val="24"/>
          <w:shd w:val="clear" w:color="auto" w:fill="FFFFFF"/>
        </w:rPr>
        <w:t>，</w:t>
      </w:r>
      <w:r w:rsidR="0024589B" w:rsidRPr="00D066A0">
        <w:rPr>
          <w:rFonts w:eastAsia="標楷體"/>
          <w:szCs w:val="24"/>
          <w:shd w:val="clear" w:color="auto" w:fill="FFFFFF"/>
        </w:rPr>
        <w:t>Zhu SC</w:t>
      </w:r>
      <w:r w:rsidR="0024589B" w:rsidRPr="00D066A0">
        <w:rPr>
          <w:rFonts w:eastAsia="標楷體"/>
          <w:szCs w:val="24"/>
        </w:rPr>
        <w:t xml:space="preserve">. </w:t>
      </w:r>
      <w:r w:rsidR="0024589B" w:rsidRPr="00D066A0">
        <w:rPr>
          <w:rFonts w:eastAsia="標楷體"/>
          <w:kern w:val="36"/>
          <w:szCs w:val="24"/>
        </w:rPr>
        <w:t>Comparison of the effect of postoperative radiotherapy with surgery alone for esophagus squamous cell carcinoma patients</w:t>
      </w:r>
      <w:r w:rsidR="0024589B" w:rsidRPr="00D066A0">
        <w:rPr>
          <w:rFonts w:eastAsia="標楷體"/>
          <w:kern w:val="36"/>
          <w:szCs w:val="24"/>
        </w:rPr>
        <w:t>：</w:t>
      </w:r>
      <w:r w:rsidR="0024589B" w:rsidRPr="00D066A0">
        <w:rPr>
          <w:rFonts w:eastAsia="標楷體"/>
          <w:kern w:val="36"/>
          <w:szCs w:val="24"/>
        </w:rPr>
        <w:t xml:space="preserve">A meta-analysis. </w:t>
      </w:r>
      <w:hyperlink r:id="rId46" w:tooltip="Medicine." w:history="1">
        <w:r w:rsidR="0024589B" w:rsidRPr="00D066A0">
          <w:rPr>
            <w:rFonts w:eastAsia="標楷體"/>
            <w:szCs w:val="24"/>
            <w:shd w:val="clear" w:color="auto" w:fill="FFFFFF"/>
          </w:rPr>
          <w:t>Medicine (Baltimore).</w:t>
        </w:r>
      </w:hyperlink>
      <w:r w:rsidR="0024589B" w:rsidRPr="00D066A0">
        <w:rPr>
          <w:rFonts w:eastAsia="標楷體"/>
          <w:szCs w:val="24"/>
          <w:shd w:val="clear" w:color="auto" w:fill="FFFFFF"/>
        </w:rPr>
        <w:t xml:space="preserve"> 2018 </w:t>
      </w:r>
      <w:r w:rsidR="0024589B" w:rsidRPr="00D066A0">
        <w:rPr>
          <w:rFonts w:eastAsia="標楷體"/>
          <w:szCs w:val="24"/>
          <w:shd w:val="clear" w:color="auto" w:fill="FFFFFF"/>
        </w:rPr>
        <w:t>；</w:t>
      </w:r>
      <w:r w:rsidR="0024589B" w:rsidRPr="00D066A0">
        <w:rPr>
          <w:rFonts w:eastAsia="標楷體"/>
          <w:szCs w:val="24"/>
          <w:shd w:val="clear" w:color="auto" w:fill="FFFFFF"/>
        </w:rPr>
        <w:t>97(47)</w:t>
      </w:r>
      <w:r w:rsidR="0024589B" w:rsidRPr="00D066A0">
        <w:rPr>
          <w:rFonts w:eastAsia="標楷體"/>
          <w:szCs w:val="24"/>
          <w:shd w:val="clear" w:color="auto" w:fill="FFFFFF"/>
        </w:rPr>
        <w:t>：</w:t>
      </w:r>
      <w:r w:rsidR="0024589B" w:rsidRPr="00D066A0">
        <w:rPr>
          <w:rFonts w:eastAsia="標楷體"/>
          <w:szCs w:val="24"/>
          <w:shd w:val="clear" w:color="auto" w:fill="FFFFFF"/>
        </w:rPr>
        <w:t>e13168.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36"/>
          <w:szCs w:val="24"/>
        </w:rPr>
      </w:pPr>
      <w:r w:rsidRPr="00D066A0">
        <w:rPr>
          <w:rFonts w:eastAsia="標楷體"/>
          <w:kern w:val="36"/>
          <w:szCs w:val="24"/>
        </w:rPr>
        <w:t>Intensified NeoadjuvantChemoradiotherapy for Patients with Potentially Resectable Esophageal Cancer</w:t>
      </w:r>
      <w:r w:rsidRPr="00D066A0">
        <w:rPr>
          <w:rFonts w:eastAsia="標楷體"/>
          <w:kern w:val="36"/>
          <w:szCs w:val="24"/>
        </w:rPr>
        <w:t>：</w:t>
      </w:r>
      <w:r w:rsidRPr="00D066A0">
        <w:rPr>
          <w:rFonts w:eastAsia="標楷體"/>
          <w:kern w:val="36"/>
          <w:szCs w:val="24"/>
        </w:rPr>
        <w:t xml:space="preserve">A Retrospective Cohort Study </w:t>
      </w:r>
      <w:hyperlink r:id="rId47" w:tooltip="Annals of surgical oncology." w:history="1">
        <w:r w:rsidRPr="00D066A0">
          <w:rPr>
            <w:rFonts w:eastAsia="標楷體"/>
            <w:szCs w:val="24"/>
            <w:shd w:val="clear" w:color="auto" w:fill="FFFFFF"/>
          </w:rPr>
          <w:t>Ann Surg Oncol.</w:t>
        </w:r>
      </w:hyperlink>
      <w:r w:rsidRPr="00D066A0">
        <w:rPr>
          <w:rFonts w:eastAsia="標楷體"/>
          <w:szCs w:val="24"/>
          <w:shd w:val="clear" w:color="auto" w:fill="FFFFFF"/>
        </w:rPr>
        <w:t xml:space="preserve"> 2019 </w:t>
      </w:r>
      <w:hyperlink r:id="rId48" w:history="1">
        <w:r w:rsidRPr="00D066A0">
          <w:rPr>
            <w:rStyle w:val="a5"/>
            <w:rFonts w:eastAsia="標楷體"/>
            <w:szCs w:val="24"/>
          </w:rPr>
          <w:t>https</w:t>
        </w:r>
        <w:r w:rsidRPr="00D066A0">
          <w:rPr>
            <w:rStyle w:val="a5"/>
            <w:rFonts w:eastAsia="標楷體"/>
            <w:szCs w:val="24"/>
          </w:rPr>
          <w:t>：</w:t>
        </w:r>
        <w:r w:rsidRPr="00D066A0">
          <w:rPr>
            <w:rStyle w:val="a5"/>
            <w:rFonts w:eastAsia="標楷體"/>
            <w:szCs w:val="24"/>
          </w:rPr>
          <w:t>//doi.org/10.1245/s10434-019-08114-z</w:t>
        </w:r>
      </w:hyperlink>
      <w:r w:rsidRPr="00D066A0">
        <w:rPr>
          <w:rFonts w:eastAsia="標楷體"/>
          <w:szCs w:val="24"/>
        </w:rPr>
        <w:t>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0"/>
          <w:szCs w:val="24"/>
          <w:shd w:val="clear" w:color="auto" w:fill="FFFFFF"/>
        </w:rPr>
      </w:pPr>
      <w:r w:rsidRPr="00D066A0">
        <w:rPr>
          <w:rFonts w:eastAsia="標楷體"/>
          <w:bCs/>
          <w:kern w:val="36"/>
          <w:szCs w:val="24"/>
        </w:rPr>
        <w:t>A Randomized Phase III Trial on the Role of Esophagectomy in Complete Responders to Preoperative Chemoradiotherapy for Esophageal Squamous Cell Carcinoma (ESOPRESSO). Anticancer Res. 2019 Sep</w:t>
      </w:r>
      <w:r w:rsidRPr="00D066A0">
        <w:rPr>
          <w:rFonts w:eastAsia="標楷體"/>
          <w:bCs/>
          <w:kern w:val="36"/>
          <w:szCs w:val="24"/>
        </w:rPr>
        <w:t>；</w:t>
      </w:r>
      <w:r w:rsidRPr="00D066A0">
        <w:rPr>
          <w:rFonts w:eastAsia="標楷體"/>
          <w:bCs/>
          <w:kern w:val="36"/>
          <w:szCs w:val="24"/>
        </w:rPr>
        <w:t>39(9)</w:t>
      </w:r>
      <w:r w:rsidRPr="00D066A0">
        <w:rPr>
          <w:rFonts w:eastAsia="標楷體"/>
          <w:bCs/>
          <w:kern w:val="36"/>
          <w:szCs w:val="24"/>
        </w:rPr>
        <w:t>：</w:t>
      </w:r>
      <w:r w:rsidRPr="00D066A0">
        <w:rPr>
          <w:rFonts w:eastAsia="標楷體"/>
          <w:bCs/>
          <w:kern w:val="36"/>
          <w:szCs w:val="24"/>
        </w:rPr>
        <w:t xml:space="preserve">5123-5133.25. 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kern w:val="0"/>
          <w:szCs w:val="24"/>
        </w:rPr>
      </w:pPr>
      <w:r w:rsidRPr="00D066A0">
        <w:rPr>
          <w:rFonts w:eastAsia="標楷體"/>
          <w:bCs/>
          <w:kern w:val="36"/>
          <w:szCs w:val="24"/>
        </w:rPr>
        <w:lastRenderedPageBreak/>
        <w:t xml:space="preserve">18F FDG-PET/CT evaluation of histological response after neoadjuvant treatment in patients with cancer of the esophagus or gastroesophageal junction. </w:t>
      </w:r>
      <w:r w:rsidRPr="00D066A0">
        <w:rPr>
          <w:rFonts w:eastAsia="標楷體"/>
          <w:kern w:val="0"/>
          <w:szCs w:val="24"/>
        </w:rPr>
        <w:t>ActaRadiol</w:t>
      </w:r>
      <w:r w:rsidRPr="00D066A0">
        <w:rPr>
          <w:rFonts w:eastAsia="標楷體"/>
          <w:kern w:val="0"/>
          <w:szCs w:val="24"/>
          <w:shd w:val="clear" w:color="auto" w:fill="FFFFFF"/>
        </w:rPr>
        <w:t>. 2019 May</w:t>
      </w:r>
      <w:r w:rsidRPr="00D066A0">
        <w:rPr>
          <w:rFonts w:eastAsia="標楷體"/>
          <w:kern w:val="0"/>
          <w:szCs w:val="24"/>
          <w:shd w:val="clear" w:color="auto" w:fill="FFFFFF"/>
        </w:rPr>
        <w:t>；</w:t>
      </w:r>
      <w:r w:rsidRPr="00D066A0">
        <w:rPr>
          <w:rFonts w:eastAsia="標楷體"/>
          <w:kern w:val="0"/>
          <w:szCs w:val="24"/>
          <w:shd w:val="clear" w:color="auto" w:fill="FFFFFF"/>
        </w:rPr>
        <w:t>60(5)</w:t>
      </w:r>
      <w:r w:rsidRPr="00D066A0">
        <w:rPr>
          <w:rFonts w:eastAsia="標楷體"/>
          <w:kern w:val="0"/>
          <w:szCs w:val="24"/>
          <w:shd w:val="clear" w:color="auto" w:fill="FFFFFF"/>
        </w:rPr>
        <w:t>：</w:t>
      </w:r>
      <w:r w:rsidRPr="00D066A0">
        <w:rPr>
          <w:rFonts w:eastAsia="標楷體"/>
          <w:kern w:val="0"/>
          <w:szCs w:val="24"/>
          <w:shd w:val="clear" w:color="auto" w:fill="FFFFFF"/>
        </w:rPr>
        <w:t>578-585.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szCs w:val="24"/>
          <w:shd w:val="clear" w:color="auto" w:fill="F7FBFE"/>
        </w:rPr>
      </w:pPr>
      <w:r w:rsidRPr="00D066A0">
        <w:rPr>
          <w:rFonts w:eastAsia="標楷體"/>
          <w:kern w:val="0"/>
          <w:szCs w:val="24"/>
        </w:rPr>
        <w:t>Lin SH</w:t>
      </w:r>
      <w:r w:rsidRPr="00D066A0">
        <w:rPr>
          <w:rFonts w:eastAsia="標楷體"/>
          <w:kern w:val="0"/>
          <w:szCs w:val="24"/>
        </w:rPr>
        <w:t>，</w:t>
      </w:r>
      <w:r w:rsidRPr="00D066A0">
        <w:rPr>
          <w:rFonts w:eastAsia="標楷體"/>
          <w:kern w:val="0"/>
          <w:szCs w:val="24"/>
        </w:rPr>
        <w:t>Hobbs BP</w:t>
      </w:r>
      <w:r w:rsidRPr="00D066A0">
        <w:rPr>
          <w:rFonts w:eastAsia="標楷體"/>
          <w:kern w:val="0"/>
          <w:szCs w:val="24"/>
        </w:rPr>
        <w:t>，</w:t>
      </w:r>
      <w:r w:rsidRPr="00D066A0">
        <w:rPr>
          <w:rFonts w:eastAsia="標楷體"/>
          <w:kern w:val="0"/>
          <w:szCs w:val="24"/>
        </w:rPr>
        <w:t>Verma V</w:t>
      </w:r>
      <w:r w:rsidRPr="00D066A0">
        <w:rPr>
          <w:rFonts w:eastAsia="標楷體"/>
          <w:kern w:val="0"/>
          <w:szCs w:val="24"/>
        </w:rPr>
        <w:t>，</w:t>
      </w:r>
      <w:r w:rsidRPr="00D066A0">
        <w:rPr>
          <w:rFonts w:eastAsia="標楷體"/>
          <w:kern w:val="0"/>
          <w:szCs w:val="24"/>
        </w:rPr>
        <w:t>et al. Randomized phase IIB trial of proton beam therapy versus intensity-modulated radiation therapy for locally advanced esophageal cancer. J ClinOncol 2020</w:t>
      </w:r>
      <w:r w:rsidRPr="00D066A0">
        <w:rPr>
          <w:rFonts w:eastAsia="標楷體"/>
          <w:kern w:val="0"/>
          <w:szCs w:val="24"/>
        </w:rPr>
        <w:t>；</w:t>
      </w:r>
      <w:r w:rsidRPr="00D066A0">
        <w:rPr>
          <w:rFonts w:eastAsia="標楷體"/>
          <w:kern w:val="0"/>
          <w:szCs w:val="24"/>
        </w:rPr>
        <w:t>38</w:t>
      </w:r>
      <w:r w:rsidRPr="00D066A0">
        <w:rPr>
          <w:rFonts w:eastAsia="標楷體"/>
          <w:kern w:val="0"/>
          <w:szCs w:val="24"/>
        </w:rPr>
        <w:t>：</w:t>
      </w:r>
      <w:r w:rsidRPr="00D066A0">
        <w:rPr>
          <w:rFonts w:eastAsia="標楷體"/>
          <w:kern w:val="0"/>
          <w:szCs w:val="24"/>
        </w:rPr>
        <w:t>1569-1579. Available at</w:t>
      </w:r>
      <w:r w:rsidRPr="00D066A0">
        <w:rPr>
          <w:rFonts w:eastAsia="標楷體"/>
          <w:kern w:val="0"/>
          <w:szCs w:val="24"/>
        </w:rPr>
        <w:t>：</w:t>
      </w:r>
      <w:hyperlink r:id="rId49" w:history="1">
        <w:r w:rsidRPr="00D066A0">
          <w:rPr>
            <w:rStyle w:val="a5"/>
            <w:rFonts w:eastAsia="標楷體"/>
            <w:kern w:val="0"/>
            <w:szCs w:val="24"/>
          </w:rPr>
          <w:t>https</w:t>
        </w:r>
        <w:r w:rsidRPr="00D066A0">
          <w:rPr>
            <w:rStyle w:val="a5"/>
            <w:rFonts w:eastAsia="標楷體"/>
            <w:kern w:val="0"/>
            <w:szCs w:val="24"/>
          </w:rPr>
          <w:t>：</w:t>
        </w:r>
        <w:r w:rsidRPr="00D066A0">
          <w:rPr>
            <w:rStyle w:val="a5"/>
            <w:rFonts w:eastAsia="標楷體"/>
            <w:kern w:val="0"/>
            <w:szCs w:val="24"/>
          </w:rPr>
          <w:t>//www.ncbi.nlm.nih.gov/pubmed/32160096</w:t>
        </w:r>
      </w:hyperlink>
      <w:r w:rsidRPr="00D066A0">
        <w:rPr>
          <w:rFonts w:eastAsia="標楷體"/>
          <w:kern w:val="0"/>
          <w:szCs w:val="24"/>
        </w:rPr>
        <w:t xml:space="preserve">. 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bCs/>
          <w:kern w:val="36"/>
          <w:szCs w:val="24"/>
        </w:rPr>
      </w:pPr>
      <w:r w:rsidRPr="00D066A0">
        <w:rPr>
          <w:rFonts w:eastAsia="標楷體"/>
          <w:szCs w:val="24"/>
          <w:shd w:val="clear" w:color="auto" w:fill="F7FBFE"/>
        </w:rPr>
        <w:t>Gaspar LE</w:t>
      </w:r>
      <w:r w:rsidRPr="00D066A0">
        <w:rPr>
          <w:rFonts w:eastAsia="標楷體"/>
          <w:szCs w:val="24"/>
          <w:shd w:val="clear" w:color="auto" w:fill="F7FBFE"/>
        </w:rPr>
        <w:t>，</w:t>
      </w:r>
      <w:r w:rsidRPr="00D066A0">
        <w:rPr>
          <w:rFonts w:eastAsia="標楷體"/>
          <w:szCs w:val="24"/>
          <w:shd w:val="clear" w:color="auto" w:fill="F7FBFE"/>
        </w:rPr>
        <w:t>Nag S</w:t>
      </w:r>
      <w:r w:rsidRPr="00D066A0">
        <w:rPr>
          <w:rFonts w:eastAsia="標楷體"/>
          <w:szCs w:val="24"/>
          <w:shd w:val="clear" w:color="auto" w:fill="F7FBFE"/>
        </w:rPr>
        <w:t>，</w:t>
      </w:r>
      <w:r w:rsidRPr="00D066A0">
        <w:rPr>
          <w:rFonts w:eastAsia="標楷體"/>
          <w:szCs w:val="24"/>
          <w:shd w:val="clear" w:color="auto" w:fill="F7FBFE"/>
        </w:rPr>
        <w:t>Herskovic A</w:t>
      </w:r>
      <w:r w:rsidRPr="00D066A0">
        <w:rPr>
          <w:rFonts w:eastAsia="標楷體"/>
          <w:szCs w:val="24"/>
          <w:shd w:val="clear" w:color="auto" w:fill="F7FBFE"/>
        </w:rPr>
        <w:t>，</w:t>
      </w:r>
      <w:r w:rsidRPr="00D066A0">
        <w:rPr>
          <w:rFonts w:eastAsia="標楷體"/>
          <w:szCs w:val="24"/>
          <w:shd w:val="clear" w:color="auto" w:fill="F7FBFE"/>
        </w:rPr>
        <w:t>et al. American Brachytherapy Society (ABS) consensus guidelines for brachytherapy for esophageal cancer. Int J RadiatOncolBiol Phys. 1997</w:t>
      </w:r>
      <w:r w:rsidRPr="00D066A0">
        <w:rPr>
          <w:rFonts w:eastAsia="標楷體"/>
          <w:szCs w:val="24"/>
          <w:shd w:val="clear" w:color="auto" w:fill="F7FBFE"/>
        </w:rPr>
        <w:t>；</w:t>
      </w:r>
      <w:r w:rsidRPr="00D066A0">
        <w:rPr>
          <w:rFonts w:eastAsia="標楷體"/>
          <w:szCs w:val="24"/>
          <w:shd w:val="clear" w:color="auto" w:fill="F7FBFE"/>
        </w:rPr>
        <w:t>38</w:t>
      </w:r>
      <w:r w:rsidRPr="00D066A0">
        <w:rPr>
          <w:rFonts w:eastAsia="標楷體"/>
          <w:szCs w:val="24"/>
          <w:shd w:val="clear" w:color="auto" w:fill="F7FBFE"/>
        </w:rPr>
        <w:t>：</w:t>
      </w:r>
      <w:r w:rsidRPr="00D066A0">
        <w:rPr>
          <w:rFonts w:eastAsia="標楷體"/>
          <w:szCs w:val="24"/>
          <w:shd w:val="clear" w:color="auto" w:fill="F7FBFE"/>
        </w:rPr>
        <w:t xml:space="preserve">127–32. 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line="200" w:lineRule="atLeast"/>
        <w:ind w:left="482" w:hanging="482"/>
        <w:jc w:val="both"/>
        <w:outlineLvl w:val="0"/>
        <w:rPr>
          <w:rFonts w:eastAsia="標楷體"/>
          <w:bCs/>
          <w:kern w:val="36"/>
          <w:szCs w:val="24"/>
        </w:rPr>
      </w:pPr>
      <w:r w:rsidRPr="00D066A0">
        <w:rPr>
          <w:rFonts w:eastAsia="標楷體"/>
          <w:szCs w:val="24"/>
          <w:shd w:val="clear" w:color="auto" w:fill="F7FBFE"/>
        </w:rPr>
        <w:t>Nonoshita T</w:t>
      </w:r>
      <w:r w:rsidRPr="00D066A0">
        <w:rPr>
          <w:rFonts w:eastAsia="標楷體"/>
          <w:szCs w:val="24"/>
          <w:shd w:val="clear" w:color="auto" w:fill="F7FBFE"/>
        </w:rPr>
        <w:t>，</w:t>
      </w:r>
      <w:r w:rsidRPr="00D066A0">
        <w:rPr>
          <w:rFonts w:eastAsia="標楷體"/>
          <w:szCs w:val="24"/>
          <w:shd w:val="clear" w:color="auto" w:fill="F7FBFE"/>
        </w:rPr>
        <w:t>Sasaki T</w:t>
      </w:r>
      <w:r w:rsidRPr="00D066A0">
        <w:rPr>
          <w:rFonts w:eastAsia="標楷體"/>
          <w:szCs w:val="24"/>
          <w:shd w:val="clear" w:color="auto" w:fill="F7FBFE"/>
        </w:rPr>
        <w:t>，</w:t>
      </w:r>
      <w:r w:rsidRPr="00D066A0">
        <w:rPr>
          <w:rFonts w:eastAsia="標楷體"/>
          <w:szCs w:val="24"/>
          <w:shd w:val="clear" w:color="auto" w:fill="F7FBFE"/>
        </w:rPr>
        <w:t>Hirata H</w:t>
      </w:r>
      <w:r w:rsidRPr="00D066A0">
        <w:rPr>
          <w:rFonts w:eastAsia="標楷體"/>
          <w:szCs w:val="24"/>
          <w:shd w:val="clear" w:color="auto" w:fill="F7FBFE"/>
        </w:rPr>
        <w:t>，</w:t>
      </w:r>
      <w:r w:rsidRPr="00D066A0">
        <w:rPr>
          <w:rFonts w:eastAsia="標楷體"/>
          <w:szCs w:val="24"/>
          <w:shd w:val="clear" w:color="auto" w:fill="F7FBFE"/>
        </w:rPr>
        <w:t>et al. High-dose-rate brachytherapy for previously irradiated patients with recurrent esophageal cancer. Radiat Med. 2007</w:t>
      </w:r>
      <w:r w:rsidRPr="00D066A0">
        <w:rPr>
          <w:rFonts w:eastAsia="標楷體"/>
          <w:szCs w:val="24"/>
          <w:shd w:val="clear" w:color="auto" w:fill="F7FBFE"/>
        </w:rPr>
        <w:t>；</w:t>
      </w:r>
      <w:r w:rsidRPr="00D066A0">
        <w:rPr>
          <w:rFonts w:eastAsia="標楷體"/>
          <w:szCs w:val="24"/>
          <w:shd w:val="clear" w:color="auto" w:fill="F7FBFE"/>
        </w:rPr>
        <w:t>25</w:t>
      </w:r>
      <w:r w:rsidRPr="00D066A0">
        <w:rPr>
          <w:rFonts w:eastAsia="標楷體"/>
          <w:szCs w:val="24"/>
          <w:shd w:val="clear" w:color="auto" w:fill="F7FBFE"/>
        </w:rPr>
        <w:t>：</w:t>
      </w:r>
      <w:r w:rsidRPr="00D066A0">
        <w:rPr>
          <w:rFonts w:eastAsia="標楷體"/>
          <w:szCs w:val="24"/>
          <w:shd w:val="clear" w:color="auto" w:fill="F7FBFE"/>
        </w:rPr>
        <w:t>373–7.</w:t>
      </w:r>
    </w:p>
    <w:p w:rsidR="0024589B" w:rsidRPr="00D066A0" w:rsidRDefault="0024589B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before="100" w:beforeAutospacing="1" w:after="100" w:afterAutospacing="1" w:line="200" w:lineRule="atLeast"/>
        <w:ind w:left="482" w:hanging="482"/>
        <w:jc w:val="both"/>
        <w:outlineLvl w:val="0"/>
        <w:rPr>
          <w:rFonts w:eastAsia="標楷體"/>
          <w:kern w:val="36"/>
          <w:szCs w:val="24"/>
        </w:rPr>
      </w:pPr>
      <w:r w:rsidRPr="00D066A0">
        <w:rPr>
          <w:rFonts w:eastAsia="標楷體"/>
          <w:color w:val="212121"/>
          <w:szCs w:val="24"/>
          <w:shd w:val="clear" w:color="auto" w:fill="FFFFFF"/>
        </w:rPr>
        <w:t>Fuccio L</w:t>
      </w:r>
      <w:r w:rsidRPr="00D066A0">
        <w:rPr>
          <w:rFonts w:eastAsia="標楷體"/>
          <w:color w:val="212121"/>
          <w:szCs w:val="24"/>
          <w:shd w:val="clear" w:color="auto" w:fill="FFFFFF"/>
        </w:rPr>
        <w:t>，</w:t>
      </w:r>
      <w:r w:rsidRPr="00D066A0">
        <w:rPr>
          <w:rFonts w:eastAsia="標楷體"/>
          <w:color w:val="212121"/>
          <w:szCs w:val="24"/>
          <w:shd w:val="clear" w:color="auto" w:fill="FFFFFF"/>
        </w:rPr>
        <w:t xml:space="preserve">et al. </w:t>
      </w:r>
      <w:r w:rsidRPr="00D066A0">
        <w:rPr>
          <w:rFonts w:eastAsia="標楷體"/>
          <w:bCs/>
          <w:kern w:val="36"/>
          <w:szCs w:val="24"/>
        </w:rPr>
        <w:t>Brachytherapy for the palliation of dysphagia owing to esophageal cancer</w:t>
      </w:r>
      <w:r w:rsidRPr="00D066A0">
        <w:rPr>
          <w:rFonts w:eastAsia="標楷體"/>
          <w:bCs/>
          <w:kern w:val="36"/>
          <w:szCs w:val="24"/>
        </w:rPr>
        <w:t>：</w:t>
      </w:r>
      <w:r w:rsidRPr="00D066A0">
        <w:rPr>
          <w:rFonts w:eastAsia="標楷體"/>
          <w:bCs/>
          <w:kern w:val="36"/>
          <w:szCs w:val="24"/>
        </w:rPr>
        <w:t xml:space="preserve">A systematic review and meta-analysis of prospective studies. </w:t>
      </w:r>
      <w:r w:rsidRPr="00D066A0">
        <w:rPr>
          <w:rFonts w:eastAsia="標楷體"/>
          <w:kern w:val="36"/>
          <w:szCs w:val="24"/>
        </w:rPr>
        <w:t>r</w:t>
      </w:r>
      <w:r w:rsidRPr="00D066A0">
        <w:rPr>
          <w:rFonts w:eastAsia="標楷體"/>
          <w:szCs w:val="24"/>
          <w:shd w:val="clear" w:color="auto" w:fill="FFFFFF"/>
        </w:rPr>
        <w:t>adiotherOncol. 2017 Mar</w:t>
      </w:r>
      <w:r w:rsidRPr="00D066A0">
        <w:rPr>
          <w:rFonts w:eastAsia="標楷體"/>
          <w:szCs w:val="24"/>
          <w:shd w:val="clear" w:color="auto" w:fill="FFFFFF"/>
        </w:rPr>
        <w:t>；</w:t>
      </w:r>
      <w:r w:rsidRPr="00D066A0">
        <w:rPr>
          <w:rFonts w:eastAsia="標楷體"/>
          <w:szCs w:val="24"/>
          <w:shd w:val="clear" w:color="auto" w:fill="FFFFFF"/>
        </w:rPr>
        <w:t>122(3)</w:t>
      </w:r>
      <w:r w:rsidRPr="00D066A0">
        <w:rPr>
          <w:rFonts w:eastAsia="標楷體"/>
          <w:szCs w:val="24"/>
          <w:shd w:val="clear" w:color="auto" w:fill="FFFFFF"/>
        </w:rPr>
        <w:t>：</w:t>
      </w:r>
      <w:r w:rsidRPr="00D066A0">
        <w:rPr>
          <w:rFonts w:eastAsia="標楷體"/>
          <w:szCs w:val="24"/>
          <w:shd w:val="clear" w:color="auto" w:fill="FFFFFF"/>
        </w:rPr>
        <w:t>332-339</w:t>
      </w:r>
    </w:p>
    <w:p w:rsidR="0024589B" w:rsidRPr="00EB542E" w:rsidRDefault="0022486C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before="100" w:beforeAutospacing="1" w:after="100" w:afterAutospacing="1" w:line="200" w:lineRule="atLeast"/>
        <w:ind w:left="482" w:hanging="482"/>
        <w:jc w:val="both"/>
        <w:outlineLvl w:val="0"/>
        <w:rPr>
          <w:rFonts w:eastAsia="標楷體"/>
          <w:kern w:val="36"/>
          <w:szCs w:val="24"/>
        </w:rPr>
      </w:pPr>
      <w:hyperlink r:id="rId50" w:history="1">
        <w:r w:rsidR="0024589B" w:rsidRPr="00D066A0">
          <w:rPr>
            <w:rFonts w:eastAsia="標楷體"/>
            <w:szCs w:val="24"/>
            <w:shd w:val="clear" w:color="auto" w:fill="FFFFFF"/>
          </w:rPr>
          <w:t>Manon Kissel</w:t>
        </w:r>
      </w:hyperlink>
      <w:r w:rsidR="0024589B" w:rsidRPr="00D066A0">
        <w:rPr>
          <w:rFonts w:eastAsia="標楷體"/>
          <w:szCs w:val="24"/>
        </w:rPr>
        <w:t xml:space="preserve"> et al. </w:t>
      </w:r>
      <w:r w:rsidR="0024589B" w:rsidRPr="00D066A0">
        <w:rPr>
          <w:rFonts w:eastAsia="標楷體"/>
          <w:kern w:val="36"/>
          <w:szCs w:val="24"/>
        </w:rPr>
        <w:t>Esophageal brachytherapy</w:t>
      </w:r>
      <w:r w:rsidR="0024589B" w:rsidRPr="00D066A0">
        <w:rPr>
          <w:rFonts w:eastAsia="標楷體"/>
          <w:kern w:val="36"/>
          <w:szCs w:val="24"/>
        </w:rPr>
        <w:t>：</w:t>
      </w:r>
      <w:r w:rsidR="0024589B" w:rsidRPr="00D066A0">
        <w:rPr>
          <w:rFonts w:eastAsia="標楷體"/>
          <w:kern w:val="36"/>
          <w:szCs w:val="24"/>
        </w:rPr>
        <w:t xml:space="preserve">InstitutGustaveRoussy's experience. </w:t>
      </w:r>
      <w:r w:rsidR="0024589B" w:rsidRPr="00D066A0">
        <w:rPr>
          <w:rFonts w:eastAsia="標楷體"/>
          <w:kern w:val="0"/>
          <w:szCs w:val="24"/>
        </w:rPr>
        <w:t>Brachytherapy</w:t>
      </w:r>
      <w:r w:rsidR="0024589B" w:rsidRPr="00D066A0">
        <w:rPr>
          <w:rFonts w:eastAsia="標楷體"/>
          <w:kern w:val="0"/>
          <w:szCs w:val="24"/>
          <w:shd w:val="clear" w:color="auto" w:fill="FFFFFF"/>
        </w:rPr>
        <w:t>. Jul-Aug 2020</w:t>
      </w:r>
      <w:r w:rsidR="0024589B" w:rsidRPr="00D066A0">
        <w:rPr>
          <w:rFonts w:eastAsia="標楷體"/>
          <w:kern w:val="0"/>
          <w:szCs w:val="24"/>
          <w:shd w:val="clear" w:color="auto" w:fill="FFFFFF"/>
        </w:rPr>
        <w:t>；</w:t>
      </w:r>
      <w:r w:rsidR="0024589B" w:rsidRPr="00D066A0">
        <w:rPr>
          <w:rFonts w:eastAsia="標楷體"/>
          <w:kern w:val="0"/>
          <w:szCs w:val="24"/>
          <w:shd w:val="clear" w:color="auto" w:fill="FFFFFF"/>
        </w:rPr>
        <w:t>19(4)</w:t>
      </w:r>
      <w:r w:rsidR="0024589B" w:rsidRPr="00D066A0">
        <w:rPr>
          <w:rFonts w:eastAsia="標楷體"/>
          <w:kern w:val="0"/>
          <w:szCs w:val="24"/>
          <w:shd w:val="clear" w:color="auto" w:fill="FFFFFF"/>
        </w:rPr>
        <w:t>：</w:t>
      </w:r>
      <w:r w:rsidR="0024589B" w:rsidRPr="00D066A0">
        <w:rPr>
          <w:rFonts w:eastAsia="標楷體"/>
          <w:kern w:val="0"/>
          <w:szCs w:val="24"/>
          <w:shd w:val="clear" w:color="auto" w:fill="FFFFFF"/>
        </w:rPr>
        <w:t>499-509</w:t>
      </w:r>
    </w:p>
    <w:p w:rsidR="0024589B" w:rsidRPr="0024589B" w:rsidRDefault="0024589B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before="100" w:beforeAutospacing="1" w:after="100" w:afterAutospacing="1" w:line="200" w:lineRule="atLeast"/>
        <w:ind w:left="482" w:hanging="482"/>
        <w:jc w:val="both"/>
        <w:outlineLvl w:val="0"/>
        <w:rPr>
          <w:rFonts w:eastAsia="標楷體"/>
          <w:b/>
          <w:bCs/>
          <w:sz w:val="28"/>
          <w:szCs w:val="28"/>
        </w:rPr>
      </w:pPr>
      <w:r>
        <w:t>Lin SH, Hobbs BP, Verma V, et al. Randomized phase IIB trial of proton beam therapy versus intensity-modulated radiation therapy for locally advanced esophageal cancer. J ClinOncol 2020;38:1569-1579.</w:t>
      </w:r>
    </w:p>
    <w:p w:rsidR="003F290A" w:rsidRPr="0024589B" w:rsidRDefault="0024589B" w:rsidP="004F2BC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before="100" w:beforeAutospacing="1" w:after="100" w:afterAutospacing="1" w:line="200" w:lineRule="atLeast"/>
        <w:ind w:left="482" w:hanging="482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24589B">
        <w:rPr>
          <w:rFonts w:eastAsia="標楷體"/>
          <w:b/>
          <w:color w:val="000000" w:themeColor="text1"/>
          <w:sz w:val="28"/>
        </w:rPr>
        <w:br w:type="page"/>
      </w:r>
    </w:p>
    <w:p w:rsidR="00082A29" w:rsidRPr="00EC477E" w:rsidRDefault="00082A29" w:rsidP="00B602D3">
      <w:pPr>
        <w:autoSpaceDE w:val="0"/>
        <w:autoSpaceDN w:val="0"/>
        <w:adjustRightInd w:val="0"/>
        <w:spacing w:line="276" w:lineRule="auto"/>
        <w:ind w:leftChars="117" w:left="281" w:firstLine="2"/>
        <w:rPr>
          <w:rFonts w:eastAsia="標楷體"/>
          <w:sz w:val="26"/>
          <w:szCs w:val="28"/>
        </w:rPr>
      </w:pPr>
    </w:p>
    <w:p w:rsidR="00082A29" w:rsidRPr="00EC477E" w:rsidRDefault="00082A29" w:rsidP="00082A29">
      <w:pPr>
        <w:tabs>
          <w:tab w:val="left" w:pos="12972"/>
        </w:tabs>
        <w:rPr>
          <w:rFonts w:eastAsia="標楷體"/>
          <w:b/>
          <w:sz w:val="26"/>
          <w:szCs w:val="26"/>
        </w:rPr>
      </w:pPr>
      <w:r w:rsidRPr="00EC477E">
        <w:rPr>
          <w:rFonts w:eastAsia="標楷體"/>
          <w:b/>
          <w:sz w:val="26"/>
          <w:szCs w:val="26"/>
        </w:rPr>
        <w:t>20</w:t>
      </w:r>
      <w:r w:rsidR="00796F64" w:rsidRPr="00EC477E">
        <w:rPr>
          <w:rFonts w:eastAsia="標楷體" w:hint="eastAsia"/>
          <w:b/>
          <w:sz w:val="26"/>
          <w:szCs w:val="26"/>
        </w:rPr>
        <w:t>2</w:t>
      </w:r>
      <w:r w:rsidR="0024589B">
        <w:rPr>
          <w:rFonts w:eastAsia="標楷體" w:hint="eastAsia"/>
          <w:b/>
          <w:sz w:val="26"/>
          <w:szCs w:val="26"/>
        </w:rPr>
        <w:t>3</w:t>
      </w:r>
      <w:r w:rsidRPr="00EC477E">
        <w:rPr>
          <w:rFonts w:eastAsia="標楷體"/>
          <w:b/>
          <w:sz w:val="26"/>
          <w:szCs w:val="26"/>
        </w:rPr>
        <w:t>年</w:t>
      </w:r>
      <w:r w:rsidR="0024589B">
        <w:rPr>
          <w:rFonts w:eastAsia="標楷體" w:hint="eastAsia"/>
          <w:b/>
          <w:sz w:val="26"/>
          <w:szCs w:val="26"/>
        </w:rPr>
        <w:t>食道</w:t>
      </w:r>
      <w:r w:rsidRPr="00EC477E">
        <w:rPr>
          <w:rFonts w:eastAsia="標楷體"/>
          <w:b/>
          <w:sz w:val="26"/>
          <w:szCs w:val="26"/>
        </w:rPr>
        <w:t>癌</w:t>
      </w:r>
      <w:r w:rsidR="000D3089" w:rsidRPr="00EC477E">
        <w:rPr>
          <w:rFonts w:eastAsia="標楷體"/>
          <w:b/>
          <w:bCs/>
          <w:sz w:val="26"/>
          <w:szCs w:val="26"/>
        </w:rPr>
        <w:t>放射治療品質監測指標</w:t>
      </w:r>
    </w:p>
    <w:p w:rsidR="0018605A" w:rsidRPr="00EC477E" w:rsidRDefault="0018605A" w:rsidP="004F2BC4">
      <w:pPr>
        <w:numPr>
          <w:ilvl w:val="0"/>
          <w:numId w:val="1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="0024589B">
        <w:rPr>
          <w:rFonts w:eastAsia="標楷體" w:hint="eastAsia"/>
          <w:sz w:val="26"/>
          <w:szCs w:val="26"/>
        </w:rPr>
        <w:t>食道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病人接受放射治療前，主治醫師對該療程進行確認及簽章比率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:9</w:t>
      </w:r>
      <w:r w:rsidR="009456A7">
        <w:rPr>
          <w:rFonts w:eastAsia="標楷體" w:hint="eastAsia"/>
          <w:sz w:val="26"/>
          <w:szCs w:val="24"/>
        </w:rPr>
        <w:t>5</w:t>
      </w:r>
      <w:r w:rsidRPr="00EC477E">
        <w:rPr>
          <w:rFonts w:eastAsia="標楷體"/>
          <w:sz w:val="26"/>
          <w:szCs w:val="24"/>
        </w:rPr>
        <w:t>%</w:t>
      </w:r>
    </w:p>
    <w:p w:rsidR="0018605A" w:rsidRPr="00EC477E" w:rsidRDefault="0018605A" w:rsidP="0018605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接受放射治療前，主治醫師對病患療程進行確認及簽章之人數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癌進行根治性放射治療總人數</w:t>
      </w:r>
    </w:p>
    <w:p w:rsidR="0018605A" w:rsidRPr="00EC477E" w:rsidRDefault="0018605A" w:rsidP="004F2BC4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pacing w:line="276" w:lineRule="auto"/>
        <w:ind w:left="284" w:hanging="284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病人接受放射治療前，使用定位照相以確保照射範圍正確性之比率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:9</w:t>
      </w:r>
      <w:r w:rsidR="00341D68">
        <w:rPr>
          <w:rFonts w:eastAsia="標楷體" w:hint="eastAsia"/>
          <w:sz w:val="26"/>
          <w:szCs w:val="24"/>
        </w:rPr>
        <w:t>5</w:t>
      </w:r>
      <w:r w:rsidRPr="00EC477E">
        <w:rPr>
          <w:rFonts w:eastAsia="標楷體"/>
          <w:sz w:val="26"/>
          <w:szCs w:val="24"/>
        </w:rPr>
        <w:t>%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  <w:szCs w:val="24"/>
        </w:rPr>
        <w:t>接受放射治療前，</w:t>
      </w:r>
      <w:r w:rsidRPr="00EC477E">
        <w:rPr>
          <w:rFonts w:eastAsia="標楷體"/>
          <w:sz w:val="26"/>
          <w:szCs w:val="24"/>
        </w:rPr>
        <w:t>使用定位照相或影像導引以確保照射範圍正確性</w:t>
      </w:r>
      <w:r w:rsidRPr="00EC477E">
        <w:rPr>
          <w:rFonts w:eastAsia="標楷體"/>
          <w:sz w:val="26"/>
          <w:szCs w:val="24"/>
          <w:lang w:val="zh-TW"/>
        </w:rPr>
        <w:t>之</w:t>
      </w:r>
      <w:r w:rsidRPr="00EC477E">
        <w:rPr>
          <w:rFonts w:eastAsia="標楷體"/>
          <w:sz w:val="26"/>
          <w:szCs w:val="24"/>
        </w:rPr>
        <w:t>人數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18605A" w:rsidRPr="00EC477E" w:rsidRDefault="0018605A" w:rsidP="004F2BC4">
      <w:pPr>
        <w:numPr>
          <w:ilvl w:val="0"/>
          <w:numId w:val="1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病人接受放射治療時，劑量符合標準政策之比率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 xml:space="preserve">:90% </w:t>
      </w:r>
    </w:p>
    <w:p w:rsidR="0018605A" w:rsidRPr="00EC477E" w:rsidRDefault="0018605A" w:rsidP="0018605A">
      <w:pPr>
        <w:pStyle w:val="20"/>
        <w:autoSpaceDE w:val="0"/>
        <w:autoSpaceDN w:val="0"/>
        <w:adjustRightInd w:val="0"/>
        <w:snapToGrid w:val="0"/>
        <w:spacing w:line="276" w:lineRule="auto"/>
        <w:ind w:leftChars="176" w:left="422" w:firstLineChars="0" w:firstLine="0"/>
        <w:jc w:val="both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療程完成時</w:t>
      </w:r>
      <w:r>
        <w:rPr>
          <w:rFonts w:eastAsia="標楷體"/>
          <w:sz w:val="26"/>
          <w:szCs w:val="24"/>
        </w:rPr>
        <w:t>，</w:t>
      </w:r>
      <w:r w:rsidRPr="00EC477E">
        <w:rPr>
          <w:rFonts w:eastAsia="標楷體"/>
          <w:sz w:val="26"/>
          <w:szCs w:val="24"/>
        </w:rPr>
        <w:t>總劑量與</w:t>
      </w:r>
      <w:r w:rsidRPr="00EC477E">
        <w:rPr>
          <w:rFonts w:eastAsia="標楷體"/>
          <w:sz w:val="26"/>
          <w:szCs w:val="24"/>
          <w:lang w:val="zh-TW"/>
        </w:rPr>
        <w:t>標準劑量誤差為正負</w:t>
      </w:r>
      <w:r w:rsidRPr="00EC477E">
        <w:rPr>
          <w:rFonts w:eastAsia="標楷體"/>
          <w:sz w:val="26"/>
          <w:szCs w:val="24"/>
          <w:lang w:val="zh-TW"/>
        </w:rPr>
        <w:t>(</w:t>
      </w:r>
      <w:r w:rsidRPr="00EC477E">
        <w:rPr>
          <w:rFonts w:eastAsia="標楷體"/>
          <w:sz w:val="26"/>
          <w:szCs w:val="24"/>
          <w:lang w:val="zh-TW"/>
        </w:rPr>
        <w:t>含</w:t>
      </w:r>
      <w:r w:rsidRPr="00EC477E">
        <w:rPr>
          <w:rFonts w:eastAsia="標楷體"/>
          <w:sz w:val="26"/>
          <w:szCs w:val="24"/>
          <w:lang w:val="zh-TW"/>
        </w:rPr>
        <w:t>)10%</w:t>
      </w:r>
      <w:r w:rsidRPr="00EC477E">
        <w:rPr>
          <w:rFonts w:eastAsia="標楷體"/>
          <w:sz w:val="26"/>
          <w:szCs w:val="24"/>
          <w:lang w:val="zh-TW"/>
        </w:rPr>
        <w:t>以內之人數</w:t>
      </w:r>
    </w:p>
    <w:p w:rsidR="0018605A" w:rsidRPr="00EC477E" w:rsidRDefault="0018605A" w:rsidP="0018605A">
      <w:pPr>
        <w:pStyle w:val="20"/>
        <w:autoSpaceDE w:val="0"/>
        <w:autoSpaceDN w:val="0"/>
        <w:adjustRightInd w:val="0"/>
        <w:snapToGrid w:val="0"/>
        <w:spacing w:line="276" w:lineRule="auto"/>
        <w:ind w:leftChars="68" w:left="163" w:firstLineChars="100" w:firstLine="260"/>
        <w:jc w:val="both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18605A" w:rsidRPr="00EC477E" w:rsidRDefault="0018605A" w:rsidP="004F2BC4">
      <w:pPr>
        <w:numPr>
          <w:ilvl w:val="0"/>
          <w:numId w:val="1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病人接受放射治療時，治療時間符合標準政策之比率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 xml:space="preserve">:90% 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療程完成時，總治療時間與</w:t>
      </w:r>
      <w:r w:rsidRPr="00EC477E">
        <w:rPr>
          <w:rFonts w:eastAsia="標楷體"/>
          <w:sz w:val="26"/>
          <w:szCs w:val="24"/>
          <w:lang w:val="zh-TW"/>
        </w:rPr>
        <w:t>標準</w:t>
      </w:r>
      <w:r w:rsidRPr="00EC477E">
        <w:rPr>
          <w:rFonts w:eastAsia="標楷體"/>
          <w:sz w:val="26"/>
          <w:szCs w:val="24"/>
        </w:rPr>
        <w:t>治療時間</w:t>
      </w:r>
      <w:r w:rsidRPr="00EC477E">
        <w:rPr>
          <w:rFonts w:eastAsia="標楷體"/>
          <w:sz w:val="26"/>
          <w:szCs w:val="24"/>
          <w:lang w:val="zh-TW"/>
        </w:rPr>
        <w:t>誤差為正負</w:t>
      </w:r>
      <w:r w:rsidRPr="00EC477E">
        <w:rPr>
          <w:rFonts w:eastAsia="標楷體"/>
          <w:sz w:val="26"/>
          <w:szCs w:val="24"/>
          <w:lang w:val="zh-TW"/>
        </w:rPr>
        <w:t>(</w:t>
      </w:r>
      <w:r w:rsidRPr="00EC477E">
        <w:rPr>
          <w:rFonts w:eastAsia="標楷體"/>
          <w:sz w:val="26"/>
          <w:szCs w:val="24"/>
          <w:lang w:val="zh-TW"/>
        </w:rPr>
        <w:t>含</w:t>
      </w:r>
      <w:r w:rsidRPr="00EC477E">
        <w:rPr>
          <w:rFonts w:eastAsia="標楷體"/>
          <w:sz w:val="26"/>
          <w:szCs w:val="24"/>
          <w:lang w:val="zh-TW"/>
        </w:rPr>
        <w:t>)</w:t>
      </w:r>
      <w:r w:rsidRPr="00EC477E">
        <w:rPr>
          <w:rFonts w:eastAsia="標楷體"/>
          <w:sz w:val="26"/>
          <w:szCs w:val="24"/>
          <w:lang w:val="zh-TW"/>
        </w:rPr>
        <w:t>兩週</w:t>
      </w:r>
      <w:r w:rsidRPr="00F7266D">
        <w:rPr>
          <w:rFonts w:eastAsia="標楷體"/>
          <w:sz w:val="26"/>
          <w:szCs w:val="24"/>
          <w:lang w:val="zh-TW"/>
        </w:rPr>
        <w:t>之人數</w:t>
      </w:r>
    </w:p>
    <w:p w:rsidR="0018605A" w:rsidRPr="00EC477E" w:rsidRDefault="0018605A" w:rsidP="0018605A">
      <w:pPr>
        <w:autoSpaceDE w:val="0"/>
        <w:autoSpaceDN w:val="0"/>
        <w:adjustRightInd w:val="0"/>
        <w:snapToGri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18605A" w:rsidRPr="00EC477E" w:rsidRDefault="0018605A" w:rsidP="004F2BC4">
      <w:pPr>
        <w:pStyle w:val="2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ind w:firstLineChars="0"/>
        <w:jc w:val="both"/>
        <w:rPr>
          <w:rFonts w:eastAsia="標楷體"/>
          <w:bCs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病人接受放射治療時，治療次數符合標準政策之比率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8"/>
        </w:rPr>
        <w:t>閾值</w:t>
      </w:r>
      <w:r w:rsidRPr="00EC477E">
        <w:rPr>
          <w:rFonts w:eastAsia="標楷體"/>
          <w:sz w:val="26"/>
          <w:szCs w:val="28"/>
        </w:rPr>
        <w:t>:9</w:t>
      </w:r>
      <w:r w:rsidRPr="00EC477E">
        <w:rPr>
          <w:rFonts w:eastAsia="標楷體" w:hint="eastAsia"/>
          <w:sz w:val="26"/>
          <w:szCs w:val="28"/>
        </w:rPr>
        <w:t>0</w:t>
      </w:r>
      <w:r w:rsidRPr="00EC477E">
        <w:rPr>
          <w:rFonts w:eastAsia="標楷體"/>
          <w:sz w:val="26"/>
          <w:szCs w:val="28"/>
        </w:rPr>
        <w:t>%</w:t>
      </w:r>
      <w:r w:rsidRPr="00EC477E">
        <w:rPr>
          <w:rFonts w:eastAsia="標楷體"/>
          <w:sz w:val="26"/>
        </w:rPr>
        <w:t>以上</w:t>
      </w:r>
    </w:p>
    <w:p w:rsidR="0018605A" w:rsidRPr="00F7266D" w:rsidRDefault="0018605A" w:rsidP="0018605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  <w:lang w:val="zh-TW"/>
        </w:rPr>
      </w:pPr>
      <w:r w:rsidRPr="00F7266D">
        <w:rPr>
          <w:rFonts w:eastAsia="標楷體"/>
          <w:sz w:val="26"/>
          <w:szCs w:val="24"/>
        </w:rPr>
        <w:t>分子定義：監測期間內，因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F7266D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F7266D">
        <w:rPr>
          <w:rFonts w:eastAsia="標楷體"/>
          <w:sz w:val="26"/>
          <w:szCs w:val="24"/>
        </w:rPr>
        <w:t>療程完成時，</w:t>
      </w:r>
      <w:r w:rsidRPr="00F7266D">
        <w:rPr>
          <w:rFonts w:eastAsia="標楷體"/>
          <w:sz w:val="26"/>
          <w:szCs w:val="24"/>
          <w:lang w:val="zh-TW"/>
        </w:rPr>
        <w:t>實際</w:t>
      </w:r>
      <w:r w:rsidRPr="00F7266D">
        <w:rPr>
          <w:rFonts w:eastAsia="標楷體"/>
          <w:sz w:val="26"/>
          <w:szCs w:val="24"/>
        </w:rPr>
        <w:t>次數與</w:t>
      </w:r>
      <w:r w:rsidRPr="00F7266D">
        <w:rPr>
          <w:rFonts w:eastAsia="標楷體"/>
          <w:sz w:val="26"/>
          <w:szCs w:val="24"/>
          <w:lang w:val="zh-TW"/>
        </w:rPr>
        <w:t>標準</w:t>
      </w:r>
      <w:r w:rsidRPr="00F7266D">
        <w:rPr>
          <w:rFonts w:eastAsia="標楷體"/>
          <w:sz w:val="26"/>
          <w:szCs w:val="24"/>
        </w:rPr>
        <w:t>次數</w:t>
      </w:r>
      <w:r w:rsidRPr="00F7266D">
        <w:rPr>
          <w:rFonts w:eastAsia="標楷體"/>
          <w:sz w:val="26"/>
          <w:szCs w:val="24"/>
          <w:lang w:val="zh-TW"/>
        </w:rPr>
        <w:t>誤差為正負</w:t>
      </w:r>
      <w:r w:rsidRPr="00F7266D">
        <w:rPr>
          <w:rFonts w:eastAsia="標楷體"/>
          <w:sz w:val="26"/>
          <w:szCs w:val="24"/>
          <w:lang w:val="zh-TW"/>
        </w:rPr>
        <w:t>(</w:t>
      </w:r>
      <w:r w:rsidRPr="00F7266D">
        <w:rPr>
          <w:rFonts w:eastAsia="標楷體"/>
          <w:sz w:val="26"/>
          <w:szCs w:val="24"/>
          <w:lang w:val="zh-TW"/>
        </w:rPr>
        <w:t>含</w:t>
      </w:r>
      <w:r w:rsidRPr="00F7266D">
        <w:rPr>
          <w:rFonts w:eastAsia="標楷體"/>
          <w:sz w:val="26"/>
          <w:szCs w:val="24"/>
          <w:lang w:val="zh-TW"/>
        </w:rPr>
        <w:t>)10%</w:t>
      </w:r>
      <w:r w:rsidRPr="00F7266D">
        <w:rPr>
          <w:rFonts w:eastAsia="標楷體"/>
          <w:sz w:val="26"/>
          <w:szCs w:val="24"/>
          <w:lang w:val="zh-TW"/>
        </w:rPr>
        <w:t>以內之人數</w:t>
      </w:r>
    </w:p>
    <w:p w:rsidR="0018605A" w:rsidRPr="00F7266D" w:rsidRDefault="0018605A" w:rsidP="0018605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</w:rPr>
      </w:pPr>
      <w:r w:rsidRPr="00F7266D">
        <w:rPr>
          <w:rFonts w:eastAsia="標楷體"/>
          <w:sz w:val="26"/>
          <w:szCs w:val="24"/>
        </w:rPr>
        <w:t>分母定義：監測期間內，因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F7266D">
        <w:rPr>
          <w:rFonts w:eastAsia="標楷體"/>
          <w:sz w:val="26"/>
          <w:szCs w:val="24"/>
        </w:rPr>
        <w:t>進行根治性放射治療總人數</w:t>
      </w:r>
    </w:p>
    <w:p w:rsidR="0018605A" w:rsidRPr="00EC477E" w:rsidRDefault="0018605A" w:rsidP="004F2BC4">
      <w:pPr>
        <w:numPr>
          <w:ilvl w:val="0"/>
          <w:numId w:val="1"/>
        </w:numPr>
        <w:tabs>
          <w:tab w:val="clear" w:pos="480"/>
          <w:tab w:val="num" w:pos="28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病人接受放射治療時，急性期非血液副作用出現第三級或以上之反應的比率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:30%</w:t>
      </w:r>
    </w:p>
    <w:p w:rsidR="0018605A" w:rsidRPr="00EC477E" w:rsidRDefault="0018605A" w:rsidP="0018605A">
      <w:pPr>
        <w:pStyle w:val="20"/>
        <w:tabs>
          <w:tab w:val="left" w:pos="993"/>
        </w:tabs>
        <w:snapToGrid w:val="0"/>
        <w:spacing w:line="276" w:lineRule="auto"/>
        <w:ind w:leftChars="74" w:left="178" w:firstLineChars="0" w:firstLine="0"/>
        <w:jc w:val="both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lastRenderedPageBreak/>
        <w:t>分子定義：監測期間內，因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EC477E">
        <w:rPr>
          <w:rFonts w:eastAsia="標楷體"/>
          <w:sz w:val="26"/>
          <w:szCs w:val="24"/>
        </w:rPr>
        <w:t>於療程完成時，急性期副作用出現第三級或以上之反應</w:t>
      </w:r>
      <w:r w:rsidRPr="00EC477E">
        <w:rPr>
          <w:rFonts w:eastAsia="標楷體"/>
          <w:sz w:val="26"/>
          <w:szCs w:val="24"/>
          <w:lang w:val="zh-TW"/>
        </w:rPr>
        <w:t>之人數</w:t>
      </w:r>
    </w:p>
    <w:p w:rsidR="0018605A" w:rsidRPr="00EC477E" w:rsidRDefault="0018605A" w:rsidP="0018605A">
      <w:pPr>
        <w:tabs>
          <w:tab w:val="left" w:pos="12972"/>
        </w:tabs>
        <w:spacing w:line="276" w:lineRule="auto"/>
        <w:ind w:firstLineChars="100" w:firstLine="26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="0024589B">
        <w:rPr>
          <w:rFonts w:eastAsia="標楷體" w:hint="eastAsia"/>
          <w:sz w:val="26"/>
          <w:szCs w:val="26"/>
        </w:rPr>
        <w:t>食道</w:t>
      </w:r>
      <w:r w:rsidR="0024589B"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進行根治性放射治療總人數</w:t>
      </w:r>
    </w:p>
    <w:p w:rsidR="00BD4B27" w:rsidRPr="00EC477E" w:rsidRDefault="00BD4B27" w:rsidP="0018605A">
      <w:pPr>
        <w:autoSpaceDE w:val="0"/>
        <w:autoSpaceDN w:val="0"/>
        <w:adjustRightInd w:val="0"/>
        <w:spacing w:line="276" w:lineRule="auto"/>
        <w:ind w:left="480"/>
        <w:rPr>
          <w:rFonts w:eastAsia="標楷體"/>
          <w:sz w:val="26"/>
          <w:szCs w:val="26"/>
        </w:rPr>
      </w:pPr>
    </w:p>
    <w:sectPr w:rsidR="00BD4B27" w:rsidRPr="00EC477E" w:rsidSect="003A5E57">
      <w:headerReference w:type="default" r:id="rId51"/>
      <w:footerReference w:type="default" r:id="rId52"/>
      <w:type w:val="continuous"/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0F" w:rsidRDefault="008C510F">
      <w:r>
        <w:separator/>
      </w:r>
    </w:p>
  </w:endnote>
  <w:endnote w:type="continuationSeparator" w:id="1">
    <w:p w:rsidR="008C510F" w:rsidRDefault="008C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17" w:rsidRDefault="00225F1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247084"/>
      <w:docPartObj>
        <w:docPartGallery w:val="Page Numbers (Bottom of Page)"/>
        <w:docPartUnique/>
      </w:docPartObj>
    </w:sdtPr>
    <w:sdtContent>
      <w:p w:rsidR="0024589B" w:rsidRPr="00137D5B" w:rsidRDefault="0022486C">
        <w:pPr>
          <w:pStyle w:val="a9"/>
          <w:jc w:val="right"/>
        </w:pPr>
        <w:r w:rsidRPr="00137D5B">
          <w:fldChar w:fldCharType="begin"/>
        </w:r>
        <w:r w:rsidR="0024589B" w:rsidRPr="00137D5B">
          <w:instrText>PAGE   \* MERGEFORMAT</w:instrText>
        </w:r>
        <w:r w:rsidRPr="00137D5B">
          <w:fldChar w:fldCharType="separate"/>
        </w:r>
        <w:r w:rsidR="00914E05" w:rsidRPr="00914E05">
          <w:rPr>
            <w:noProof/>
            <w:lang w:val="zh-TW"/>
          </w:rPr>
          <w:t>57</w:t>
        </w:r>
        <w:r w:rsidRPr="00137D5B">
          <w:fldChar w:fldCharType="end"/>
        </w:r>
      </w:p>
    </w:sdtContent>
  </w:sdt>
  <w:p w:rsidR="0024589B" w:rsidRDefault="0024589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2180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662C1" w:rsidRDefault="00E662C1" w:rsidP="00E662C1">
        <w:pPr>
          <w:pStyle w:val="a9"/>
          <w:jc w:val="center"/>
          <w:rPr>
            <w:rFonts w:eastAsia="標楷體" w:hAnsi="標楷體"/>
            <w:sz w:val="24"/>
            <w:szCs w:val="24"/>
          </w:rPr>
        </w:pPr>
        <w:r>
          <w:rPr>
            <w:rFonts w:eastAsia="標楷體" w:hAnsi="標楷體" w:hint="eastAsia"/>
            <w:sz w:val="24"/>
            <w:szCs w:val="24"/>
          </w:rPr>
          <w:t>2023</w:t>
        </w:r>
        <w:r>
          <w:rPr>
            <w:rFonts w:eastAsia="標楷體" w:hAnsi="標楷體" w:hint="eastAsia"/>
            <w:sz w:val="24"/>
            <w:szCs w:val="24"/>
          </w:rPr>
          <w:t>年</w:t>
        </w:r>
        <w:r>
          <w:rPr>
            <w:rFonts w:eastAsia="標楷體" w:hAnsi="標楷體"/>
            <w:sz w:val="24"/>
            <w:szCs w:val="24"/>
          </w:rPr>
          <w:t>放射治療指引</w:t>
        </w:r>
        <w:r>
          <w:rPr>
            <w:rFonts w:eastAsia="標楷體" w:hAnsi="標楷體" w:hint="eastAsia"/>
            <w:sz w:val="24"/>
            <w:szCs w:val="24"/>
          </w:rPr>
          <w:t>與監測</w:t>
        </w:r>
      </w:p>
      <w:p w:rsidR="00E662C1" w:rsidRPr="004532E7" w:rsidRDefault="0022486C" w:rsidP="00E662C1">
        <w:pPr>
          <w:pStyle w:val="a9"/>
          <w:jc w:val="center"/>
          <w:rPr>
            <w:sz w:val="28"/>
            <w:szCs w:val="28"/>
          </w:rPr>
        </w:pPr>
      </w:p>
    </w:sdtContent>
  </w:sdt>
  <w:p w:rsidR="00E662C1" w:rsidRPr="00E662C1" w:rsidRDefault="00E662C1">
    <w:pPr>
      <w:pStyle w:val="a9"/>
    </w:pPr>
  </w:p>
  <w:p w:rsidR="0024589B" w:rsidRDefault="0024589B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E" w:rsidRDefault="00447C7E">
    <w:pPr>
      <w:pStyle w:val="a9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447C7E" w:rsidRDefault="00447C7E" w:rsidP="00447C7E">
    <w:pPr>
      <w:pStyle w:val="a9"/>
      <w:jc w:val="center"/>
      <w:rPr>
        <w:rFonts w:eastAsia="標楷體" w:hAnsi="標楷體"/>
        <w:sz w:val="24"/>
        <w:szCs w:val="24"/>
      </w:rPr>
    </w:pPr>
    <w:r>
      <w:rPr>
        <w:rFonts w:eastAsia="標楷體" w:hAnsi="標楷體" w:hint="eastAsia"/>
        <w:sz w:val="24"/>
        <w:szCs w:val="24"/>
      </w:rPr>
      <w:t>202</w:t>
    </w:r>
    <w:r w:rsidR="0024589B">
      <w:rPr>
        <w:rFonts w:eastAsia="標楷體" w:hAnsi="標楷體" w:hint="eastAsia"/>
        <w:sz w:val="24"/>
        <w:szCs w:val="24"/>
      </w:rPr>
      <w:t>3</w:t>
    </w:r>
    <w:r>
      <w:rPr>
        <w:rFonts w:eastAsia="標楷體" w:hAnsi="標楷體" w:hint="eastAsia"/>
        <w:sz w:val="24"/>
        <w:szCs w:val="24"/>
      </w:rPr>
      <w:t>年</w:t>
    </w:r>
    <w:r>
      <w:rPr>
        <w:rFonts w:eastAsia="標楷體" w:hAnsi="標楷體"/>
        <w:sz w:val="24"/>
        <w:szCs w:val="24"/>
      </w:rPr>
      <w:t>放射治療指引</w:t>
    </w:r>
    <w:r>
      <w:rPr>
        <w:rFonts w:eastAsia="標楷體" w:hAnsi="標楷體" w:hint="eastAsia"/>
        <w:sz w:val="24"/>
        <w:szCs w:val="24"/>
      </w:rPr>
      <w:t>與監測</w:t>
    </w:r>
  </w:p>
  <w:p w:rsidR="00447C7E" w:rsidRPr="004532E7" w:rsidRDefault="00447C7E" w:rsidP="00447C7E">
    <w:pPr>
      <w:pStyle w:val="a9"/>
      <w:jc w:val="center"/>
      <w:rPr>
        <w:sz w:val="28"/>
        <w:szCs w:val="28"/>
      </w:rPr>
    </w:pPr>
  </w:p>
  <w:p w:rsidR="00447C7E" w:rsidRDefault="00447C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0F" w:rsidRDefault="008C510F">
      <w:r>
        <w:separator/>
      </w:r>
    </w:p>
  </w:footnote>
  <w:footnote w:type="continuationSeparator" w:id="1">
    <w:p w:rsidR="008C510F" w:rsidRDefault="008C5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17" w:rsidRDefault="00225F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9B" w:rsidRPr="00E46875" w:rsidRDefault="0024589B" w:rsidP="003967DC">
    <w:pPr>
      <w:pStyle w:val="a7"/>
      <w:jc w:val="right"/>
      <w:rPr>
        <w:sz w:val="24"/>
        <w:szCs w:val="24"/>
      </w:rPr>
    </w:pPr>
    <w:r w:rsidRPr="00E46875">
      <w:rPr>
        <w:rFonts w:eastAsia="標楷體"/>
        <w:sz w:val="24"/>
        <w:szCs w:val="24"/>
      </w:rPr>
      <w:t>2023</w:t>
    </w:r>
    <w:r w:rsidRPr="00E46875">
      <w:rPr>
        <w:rFonts w:eastAsia="標楷體"/>
        <w:sz w:val="24"/>
        <w:szCs w:val="24"/>
      </w:rPr>
      <w:t>年</w:t>
    </w:r>
    <w:r w:rsidRPr="00E46875">
      <w:rPr>
        <w:rFonts w:eastAsia="標楷體" w:hint="eastAsia"/>
        <w:sz w:val="24"/>
        <w:szCs w:val="24"/>
      </w:rPr>
      <w:t>食道</w:t>
    </w:r>
    <w:r w:rsidRPr="00E46875">
      <w:rPr>
        <w:rFonts w:eastAsia="標楷體"/>
        <w:sz w:val="24"/>
        <w:szCs w:val="24"/>
      </w:rPr>
      <w:t>癌</w:t>
    </w:r>
    <w:r w:rsidRPr="00950B31">
      <w:rPr>
        <w:rFonts w:ascii="標楷體" w:eastAsia="標楷體" w:hAnsi="標楷體" w:hint="eastAsia"/>
        <w:bCs/>
        <w:color w:val="000000"/>
        <w:sz w:val="24"/>
        <w:szCs w:val="24"/>
      </w:rPr>
      <w:t>放射</w:t>
    </w:r>
    <w:r>
      <w:rPr>
        <w:rFonts w:ascii="標楷體" w:eastAsia="標楷體" w:hAnsi="標楷體" w:hint="eastAsia"/>
        <w:bCs/>
        <w:color w:val="000000"/>
        <w:sz w:val="24"/>
        <w:szCs w:val="24"/>
      </w:rPr>
      <w:t>治療監測辦法與指標</w:t>
    </w:r>
  </w:p>
  <w:p w:rsidR="0024589B" w:rsidRPr="003967DC" w:rsidRDefault="0024589B" w:rsidP="003967D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9B" w:rsidRPr="00E46875" w:rsidRDefault="0024589B" w:rsidP="002700F4">
    <w:pPr>
      <w:pStyle w:val="a7"/>
      <w:jc w:val="right"/>
      <w:rPr>
        <w:sz w:val="24"/>
        <w:szCs w:val="24"/>
      </w:rPr>
    </w:pPr>
    <w:r w:rsidRPr="00E46875">
      <w:rPr>
        <w:rFonts w:eastAsia="標楷體"/>
        <w:sz w:val="24"/>
        <w:szCs w:val="24"/>
      </w:rPr>
      <w:t>2023</w:t>
    </w:r>
    <w:r w:rsidRPr="00E46875">
      <w:rPr>
        <w:rFonts w:eastAsia="標楷體"/>
        <w:sz w:val="24"/>
        <w:szCs w:val="24"/>
      </w:rPr>
      <w:t>年</w:t>
    </w:r>
    <w:r w:rsidRPr="00E46875">
      <w:rPr>
        <w:rFonts w:eastAsia="標楷體" w:hint="eastAsia"/>
        <w:sz w:val="24"/>
        <w:szCs w:val="24"/>
      </w:rPr>
      <w:t>食道</w:t>
    </w:r>
    <w:r w:rsidRPr="00E46875">
      <w:rPr>
        <w:rFonts w:eastAsia="標楷體"/>
        <w:sz w:val="24"/>
        <w:szCs w:val="24"/>
      </w:rPr>
      <w:t>癌放射治療指引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A" w:rsidRPr="00563089" w:rsidRDefault="00447C7E" w:rsidP="00A4173F">
    <w:pPr>
      <w:pStyle w:val="a7"/>
      <w:ind w:right="-31"/>
      <w:jc w:val="right"/>
    </w:pPr>
    <w:r>
      <w:rPr>
        <w:rFonts w:eastAsia="標楷體" w:hAnsi="標楷體" w:hint="eastAsia"/>
        <w:sz w:val="24"/>
        <w:szCs w:val="24"/>
      </w:rPr>
      <w:t>202</w:t>
    </w:r>
    <w:r w:rsidR="0024589B">
      <w:rPr>
        <w:rFonts w:eastAsia="標楷體" w:hAnsi="標楷體" w:hint="eastAsia"/>
        <w:sz w:val="24"/>
        <w:szCs w:val="24"/>
      </w:rPr>
      <w:t>3</w:t>
    </w:r>
    <w:r>
      <w:rPr>
        <w:rFonts w:eastAsia="標楷體" w:hAnsi="標楷體" w:hint="eastAsia"/>
        <w:sz w:val="24"/>
        <w:szCs w:val="24"/>
      </w:rPr>
      <w:t>年</w:t>
    </w:r>
    <w:r w:rsidR="0024589B">
      <w:rPr>
        <w:rFonts w:eastAsia="標楷體" w:hAnsi="標楷體" w:hint="eastAsia"/>
        <w:sz w:val="24"/>
        <w:szCs w:val="24"/>
      </w:rPr>
      <w:t>食道</w:t>
    </w:r>
    <w:r>
      <w:rPr>
        <w:rFonts w:eastAsia="標楷體" w:hAnsi="標楷體"/>
        <w:sz w:val="24"/>
        <w:szCs w:val="24"/>
      </w:rPr>
      <w:t>癌放射治療指引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922"/>
    <w:multiLevelType w:val="hybridMultilevel"/>
    <w:tmpl w:val="1D2C88A0"/>
    <w:lvl w:ilvl="0" w:tplc="937EBF3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EDE2CC4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eastAsia"/>
      </w:rPr>
    </w:lvl>
    <w:lvl w:ilvl="2" w:tplc="041ABE3E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F409B"/>
    <w:multiLevelType w:val="hybridMultilevel"/>
    <w:tmpl w:val="3D182938"/>
    <w:lvl w:ilvl="0" w:tplc="C928A3E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573F51"/>
    <w:multiLevelType w:val="hybridMultilevel"/>
    <w:tmpl w:val="7E6C7158"/>
    <w:lvl w:ilvl="0" w:tplc="02E42330">
      <w:start w:val="1"/>
      <w:numFmt w:val="lowerRoman"/>
      <w:lvlText w:val="%1."/>
      <w:lvlJc w:val="left"/>
      <w:pPr>
        <w:ind w:left="191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3">
    <w:nsid w:val="1788753C"/>
    <w:multiLevelType w:val="hybridMultilevel"/>
    <w:tmpl w:val="3E22119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763C7"/>
    <w:multiLevelType w:val="hybridMultilevel"/>
    <w:tmpl w:val="FF46E028"/>
    <w:lvl w:ilvl="0" w:tplc="446413FA">
      <w:start w:val="1"/>
      <w:numFmt w:val="decimal"/>
      <w:lvlText w:val="%1."/>
      <w:lvlJc w:val="left"/>
      <w:pPr>
        <w:ind w:left="1046" w:hanging="480"/>
      </w:pPr>
      <w:rPr>
        <w:rFonts w:ascii="Times New Roman" w:eastAsia="標楷體" w:hAnsi="Times New Roman" w:cs="Times New Roman" w:hint="default"/>
        <w:sz w:val="26"/>
      </w:rPr>
    </w:lvl>
    <w:lvl w:ilvl="1" w:tplc="446413FA">
      <w:start w:val="1"/>
      <w:numFmt w:val="decimal"/>
      <w:lvlText w:val="%2."/>
      <w:lvlJc w:val="left"/>
      <w:pPr>
        <w:ind w:left="1526" w:hanging="480"/>
      </w:pPr>
      <w:rPr>
        <w:rFonts w:ascii="Times New Roman" w:eastAsia="標楷體" w:hAnsi="Times New Roman" w:cs="Times New Roman" w:hint="default"/>
        <w:sz w:val="26"/>
      </w:rPr>
    </w:lvl>
    <w:lvl w:ilvl="2" w:tplc="0B2E31D0">
      <w:start w:val="1"/>
      <w:numFmt w:val="taiwaneseCountingThousand"/>
      <w:lvlText w:val="%3、"/>
      <w:lvlJc w:val="left"/>
      <w:pPr>
        <w:ind w:left="22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F132102"/>
    <w:multiLevelType w:val="hybridMultilevel"/>
    <w:tmpl w:val="AE6E365C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6">
    <w:nsid w:val="52F711E6"/>
    <w:multiLevelType w:val="hybridMultilevel"/>
    <w:tmpl w:val="CA3847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A10E12"/>
    <w:multiLevelType w:val="hybridMultilevel"/>
    <w:tmpl w:val="4064AA90"/>
    <w:lvl w:ilvl="0" w:tplc="F5486902">
      <w:start w:val="1"/>
      <w:numFmt w:val="decimal"/>
      <w:lvlText w:val="%1.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C06F28"/>
    <w:multiLevelType w:val="hybridMultilevel"/>
    <w:tmpl w:val="3B58FC34"/>
    <w:lvl w:ilvl="0" w:tplc="B4BC0A62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E658E7"/>
    <w:multiLevelType w:val="hybridMultilevel"/>
    <w:tmpl w:val="6BEE0718"/>
    <w:lvl w:ilvl="0" w:tplc="04090011">
      <w:start w:val="1"/>
      <w:numFmt w:val="upperLetter"/>
      <w:lvlText w:val="%1."/>
      <w:lvlJc w:val="left"/>
      <w:pPr>
        <w:ind w:left="13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0">
    <w:nsid w:val="6B100CEF"/>
    <w:multiLevelType w:val="hybridMultilevel"/>
    <w:tmpl w:val="E1FC1108"/>
    <w:lvl w:ilvl="0" w:tplc="E4227438">
      <w:start w:val="1"/>
      <w:numFmt w:val="decimal"/>
      <w:lvlText w:val="(%1)"/>
      <w:lvlJc w:val="left"/>
      <w:pPr>
        <w:ind w:left="1614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55335F1"/>
    <w:multiLevelType w:val="hybridMultilevel"/>
    <w:tmpl w:val="16681B4C"/>
    <w:lvl w:ilvl="0" w:tplc="CC5A116E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48ED"/>
    <w:rsid w:val="00005997"/>
    <w:rsid w:val="0001483D"/>
    <w:rsid w:val="00017B8F"/>
    <w:rsid w:val="00024852"/>
    <w:rsid w:val="00024D77"/>
    <w:rsid w:val="000259A4"/>
    <w:rsid w:val="000271A8"/>
    <w:rsid w:val="00027766"/>
    <w:rsid w:val="0003600A"/>
    <w:rsid w:val="00036A6B"/>
    <w:rsid w:val="0004148F"/>
    <w:rsid w:val="000447DA"/>
    <w:rsid w:val="0004581F"/>
    <w:rsid w:val="00046DAD"/>
    <w:rsid w:val="00050B5A"/>
    <w:rsid w:val="00056D46"/>
    <w:rsid w:val="000619F3"/>
    <w:rsid w:val="00063503"/>
    <w:rsid w:val="0006365D"/>
    <w:rsid w:val="000646AE"/>
    <w:rsid w:val="0006553A"/>
    <w:rsid w:val="0007605B"/>
    <w:rsid w:val="000761DA"/>
    <w:rsid w:val="00076EA0"/>
    <w:rsid w:val="00082A29"/>
    <w:rsid w:val="000842D9"/>
    <w:rsid w:val="00084879"/>
    <w:rsid w:val="00086346"/>
    <w:rsid w:val="00091262"/>
    <w:rsid w:val="000922B6"/>
    <w:rsid w:val="000A20AC"/>
    <w:rsid w:val="000A316F"/>
    <w:rsid w:val="000A333E"/>
    <w:rsid w:val="000A748B"/>
    <w:rsid w:val="000B0D1A"/>
    <w:rsid w:val="000B5881"/>
    <w:rsid w:val="000C4198"/>
    <w:rsid w:val="000C5708"/>
    <w:rsid w:val="000C5E41"/>
    <w:rsid w:val="000D3089"/>
    <w:rsid w:val="000D70F5"/>
    <w:rsid w:val="000E2F60"/>
    <w:rsid w:val="000E34A1"/>
    <w:rsid w:val="000E3ED6"/>
    <w:rsid w:val="000E7ED6"/>
    <w:rsid w:val="000F02E3"/>
    <w:rsid w:val="000F2E3E"/>
    <w:rsid w:val="000F2FDB"/>
    <w:rsid w:val="000F6A78"/>
    <w:rsid w:val="0010023C"/>
    <w:rsid w:val="00100B6C"/>
    <w:rsid w:val="001026E9"/>
    <w:rsid w:val="00103619"/>
    <w:rsid w:val="00105766"/>
    <w:rsid w:val="00105C9D"/>
    <w:rsid w:val="001114CC"/>
    <w:rsid w:val="00116D6A"/>
    <w:rsid w:val="00120366"/>
    <w:rsid w:val="001262A3"/>
    <w:rsid w:val="001267D3"/>
    <w:rsid w:val="00126F09"/>
    <w:rsid w:val="00132BDB"/>
    <w:rsid w:val="00133BD9"/>
    <w:rsid w:val="00135184"/>
    <w:rsid w:val="001404D6"/>
    <w:rsid w:val="001414D5"/>
    <w:rsid w:val="00141CA8"/>
    <w:rsid w:val="00142CF6"/>
    <w:rsid w:val="00145CD9"/>
    <w:rsid w:val="00146B41"/>
    <w:rsid w:val="0015000B"/>
    <w:rsid w:val="00150C27"/>
    <w:rsid w:val="00152320"/>
    <w:rsid w:val="00152C7D"/>
    <w:rsid w:val="00153CE3"/>
    <w:rsid w:val="001554DA"/>
    <w:rsid w:val="00156A41"/>
    <w:rsid w:val="001605AA"/>
    <w:rsid w:val="001610F6"/>
    <w:rsid w:val="00162410"/>
    <w:rsid w:val="00164CFF"/>
    <w:rsid w:val="001650B5"/>
    <w:rsid w:val="0016755C"/>
    <w:rsid w:val="00171CF3"/>
    <w:rsid w:val="0017288B"/>
    <w:rsid w:val="00174854"/>
    <w:rsid w:val="00177495"/>
    <w:rsid w:val="00177F5F"/>
    <w:rsid w:val="0018005E"/>
    <w:rsid w:val="00182583"/>
    <w:rsid w:val="0018605A"/>
    <w:rsid w:val="0018653E"/>
    <w:rsid w:val="00190764"/>
    <w:rsid w:val="00195076"/>
    <w:rsid w:val="001A3F74"/>
    <w:rsid w:val="001A4CEA"/>
    <w:rsid w:val="001B1545"/>
    <w:rsid w:val="001B4059"/>
    <w:rsid w:val="001C1145"/>
    <w:rsid w:val="001C2003"/>
    <w:rsid w:val="001D6601"/>
    <w:rsid w:val="001D70B0"/>
    <w:rsid w:val="001E0131"/>
    <w:rsid w:val="001F013B"/>
    <w:rsid w:val="001F40C6"/>
    <w:rsid w:val="002016E3"/>
    <w:rsid w:val="00201743"/>
    <w:rsid w:val="00203268"/>
    <w:rsid w:val="00203496"/>
    <w:rsid w:val="00204C4D"/>
    <w:rsid w:val="00210291"/>
    <w:rsid w:val="00217445"/>
    <w:rsid w:val="00220772"/>
    <w:rsid w:val="0022486C"/>
    <w:rsid w:val="00225F17"/>
    <w:rsid w:val="00232DB3"/>
    <w:rsid w:val="00233CC2"/>
    <w:rsid w:val="00235DD1"/>
    <w:rsid w:val="002368E3"/>
    <w:rsid w:val="002369A9"/>
    <w:rsid w:val="0024589B"/>
    <w:rsid w:val="00246577"/>
    <w:rsid w:val="00254814"/>
    <w:rsid w:val="0025657A"/>
    <w:rsid w:val="00257AC0"/>
    <w:rsid w:val="00263474"/>
    <w:rsid w:val="002663D4"/>
    <w:rsid w:val="002668E4"/>
    <w:rsid w:val="00267B0C"/>
    <w:rsid w:val="00267D79"/>
    <w:rsid w:val="0027061E"/>
    <w:rsid w:val="00270E50"/>
    <w:rsid w:val="00273941"/>
    <w:rsid w:val="002754BF"/>
    <w:rsid w:val="002808C6"/>
    <w:rsid w:val="00281C9A"/>
    <w:rsid w:val="0028427A"/>
    <w:rsid w:val="0028476D"/>
    <w:rsid w:val="00286175"/>
    <w:rsid w:val="00287426"/>
    <w:rsid w:val="002964C3"/>
    <w:rsid w:val="00297E03"/>
    <w:rsid w:val="002A01FB"/>
    <w:rsid w:val="002A21B5"/>
    <w:rsid w:val="002A7CDE"/>
    <w:rsid w:val="002B004C"/>
    <w:rsid w:val="002B0B90"/>
    <w:rsid w:val="002B2073"/>
    <w:rsid w:val="002D120E"/>
    <w:rsid w:val="002D1E65"/>
    <w:rsid w:val="002D42F0"/>
    <w:rsid w:val="002D4C23"/>
    <w:rsid w:val="002E3065"/>
    <w:rsid w:val="002F3661"/>
    <w:rsid w:val="002F3900"/>
    <w:rsid w:val="002F3B23"/>
    <w:rsid w:val="002F50A9"/>
    <w:rsid w:val="002F6B98"/>
    <w:rsid w:val="003144B8"/>
    <w:rsid w:val="00314D91"/>
    <w:rsid w:val="00316184"/>
    <w:rsid w:val="00316BF8"/>
    <w:rsid w:val="00317B2E"/>
    <w:rsid w:val="003208A7"/>
    <w:rsid w:val="00321D42"/>
    <w:rsid w:val="00321E04"/>
    <w:rsid w:val="00324E5D"/>
    <w:rsid w:val="003256D3"/>
    <w:rsid w:val="00326A2A"/>
    <w:rsid w:val="00332631"/>
    <w:rsid w:val="00341D68"/>
    <w:rsid w:val="00343F7F"/>
    <w:rsid w:val="00345087"/>
    <w:rsid w:val="0034515B"/>
    <w:rsid w:val="00346587"/>
    <w:rsid w:val="00347067"/>
    <w:rsid w:val="0035790A"/>
    <w:rsid w:val="00363B26"/>
    <w:rsid w:val="003649D4"/>
    <w:rsid w:val="00365615"/>
    <w:rsid w:val="00372061"/>
    <w:rsid w:val="003746D9"/>
    <w:rsid w:val="003821FE"/>
    <w:rsid w:val="00382FAB"/>
    <w:rsid w:val="0038354B"/>
    <w:rsid w:val="00383DE7"/>
    <w:rsid w:val="003856B1"/>
    <w:rsid w:val="00385CE2"/>
    <w:rsid w:val="00394E33"/>
    <w:rsid w:val="00395AB5"/>
    <w:rsid w:val="00395AF0"/>
    <w:rsid w:val="00396642"/>
    <w:rsid w:val="003976C4"/>
    <w:rsid w:val="003A03B3"/>
    <w:rsid w:val="003A1F26"/>
    <w:rsid w:val="003A5E57"/>
    <w:rsid w:val="003A6153"/>
    <w:rsid w:val="003A7547"/>
    <w:rsid w:val="003A77AD"/>
    <w:rsid w:val="003B38E2"/>
    <w:rsid w:val="003B7A5B"/>
    <w:rsid w:val="003C235E"/>
    <w:rsid w:val="003C30F1"/>
    <w:rsid w:val="003D339F"/>
    <w:rsid w:val="003D66DD"/>
    <w:rsid w:val="003D7249"/>
    <w:rsid w:val="003E1AFD"/>
    <w:rsid w:val="003E4177"/>
    <w:rsid w:val="003E69AA"/>
    <w:rsid w:val="003F0B5F"/>
    <w:rsid w:val="003F290A"/>
    <w:rsid w:val="003F407E"/>
    <w:rsid w:val="003F4225"/>
    <w:rsid w:val="003F77C8"/>
    <w:rsid w:val="00400D19"/>
    <w:rsid w:val="0040358A"/>
    <w:rsid w:val="00405B64"/>
    <w:rsid w:val="004145F6"/>
    <w:rsid w:val="004216D4"/>
    <w:rsid w:val="0042177A"/>
    <w:rsid w:val="00423A87"/>
    <w:rsid w:val="00426639"/>
    <w:rsid w:val="004271FD"/>
    <w:rsid w:val="00435B13"/>
    <w:rsid w:val="004376E6"/>
    <w:rsid w:val="004378F7"/>
    <w:rsid w:val="0044217B"/>
    <w:rsid w:val="00444B6C"/>
    <w:rsid w:val="00444FD5"/>
    <w:rsid w:val="00445EE7"/>
    <w:rsid w:val="004465AB"/>
    <w:rsid w:val="004468E2"/>
    <w:rsid w:val="00447C7E"/>
    <w:rsid w:val="00450588"/>
    <w:rsid w:val="004521F1"/>
    <w:rsid w:val="004532E7"/>
    <w:rsid w:val="00453422"/>
    <w:rsid w:val="00454610"/>
    <w:rsid w:val="00454EAA"/>
    <w:rsid w:val="00460B91"/>
    <w:rsid w:val="004643F8"/>
    <w:rsid w:val="00467428"/>
    <w:rsid w:val="00475232"/>
    <w:rsid w:val="004778B1"/>
    <w:rsid w:val="00481D23"/>
    <w:rsid w:val="00481F7E"/>
    <w:rsid w:val="00493A96"/>
    <w:rsid w:val="0049414E"/>
    <w:rsid w:val="00496CC4"/>
    <w:rsid w:val="004A32D6"/>
    <w:rsid w:val="004A4341"/>
    <w:rsid w:val="004A48A3"/>
    <w:rsid w:val="004B073A"/>
    <w:rsid w:val="004B1258"/>
    <w:rsid w:val="004B1F72"/>
    <w:rsid w:val="004B504C"/>
    <w:rsid w:val="004B515E"/>
    <w:rsid w:val="004B536B"/>
    <w:rsid w:val="004B56BD"/>
    <w:rsid w:val="004B75DC"/>
    <w:rsid w:val="004B7D6B"/>
    <w:rsid w:val="004C72B0"/>
    <w:rsid w:val="004D48CF"/>
    <w:rsid w:val="004E2EAC"/>
    <w:rsid w:val="004F2174"/>
    <w:rsid w:val="004F2BC4"/>
    <w:rsid w:val="004F3A75"/>
    <w:rsid w:val="004F4499"/>
    <w:rsid w:val="004F5DFD"/>
    <w:rsid w:val="00505E48"/>
    <w:rsid w:val="00506460"/>
    <w:rsid w:val="00506B2A"/>
    <w:rsid w:val="0050745E"/>
    <w:rsid w:val="00516FC8"/>
    <w:rsid w:val="005257B9"/>
    <w:rsid w:val="00526B77"/>
    <w:rsid w:val="00526F4C"/>
    <w:rsid w:val="005317B4"/>
    <w:rsid w:val="00531C72"/>
    <w:rsid w:val="00532DB9"/>
    <w:rsid w:val="0053400C"/>
    <w:rsid w:val="00534FD6"/>
    <w:rsid w:val="005357C5"/>
    <w:rsid w:val="00540149"/>
    <w:rsid w:val="005425FE"/>
    <w:rsid w:val="005451DC"/>
    <w:rsid w:val="00545954"/>
    <w:rsid w:val="00550D2A"/>
    <w:rsid w:val="00551D33"/>
    <w:rsid w:val="00551ECD"/>
    <w:rsid w:val="0055254F"/>
    <w:rsid w:val="005549BA"/>
    <w:rsid w:val="00555936"/>
    <w:rsid w:val="0055656A"/>
    <w:rsid w:val="005604FF"/>
    <w:rsid w:val="00561626"/>
    <w:rsid w:val="005619E0"/>
    <w:rsid w:val="00563089"/>
    <w:rsid w:val="00571B0E"/>
    <w:rsid w:val="00571F86"/>
    <w:rsid w:val="00575F43"/>
    <w:rsid w:val="00576065"/>
    <w:rsid w:val="005838F8"/>
    <w:rsid w:val="00590DA7"/>
    <w:rsid w:val="00594192"/>
    <w:rsid w:val="00597DC2"/>
    <w:rsid w:val="005A2911"/>
    <w:rsid w:val="005A3BB7"/>
    <w:rsid w:val="005A4500"/>
    <w:rsid w:val="005A467A"/>
    <w:rsid w:val="005A4A29"/>
    <w:rsid w:val="005B097A"/>
    <w:rsid w:val="005B0E59"/>
    <w:rsid w:val="005B2862"/>
    <w:rsid w:val="005B28DD"/>
    <w:rsid w:val="005B4D24"/>
    <w:rsid w:val="005B52E8"/>
    <w:rsid w:val="005C2D93"/>
    <w:rsid w:val="005C34DA"/>
    <w:rsid w:val="005D15CE"/>
    <w:rsid w:val="005D5DB6"/>
    <w:rsid w:val="005D7F1F"/>
    <w:rsid w:val="005E01F3"/>
    <w:rsid w:val="005E1B09"/>
    <w:rsid w:val="005E214C"/>
    <w:rsid w:val="005F038B"/>
    <w:rsid w:val="005F5197"/>
    <w:rsid w:val="005F7B74"/>
    <w:rsid w:val="00611355"/>
    <w:rsid w:val="0061159C"/>
    <w:rsid w:val="006177F5"/>
    <w:rsid w:val="00621984"/>
    <w:rsid w:val="00626469"/>
    <w:rsid w:val="00627189"/>
    <w:rsid w:val="00630885"/>
    <w:rsid w:val="0063113B"/>
    <w:rsid w:val="006335F1"/>
    <w:rsid w:val="006345D0"/>
    <w:rsid w:val="00637EA5"/>
    <w:rsid w:val="006422D0"/>
    <w:rsid w:val="006423AF"/>
    <w:rsid w:val="00645332"/>
    <w:rsid w:val="00650807"/>
    <w:rsid w:val="00651601"/>
    <w:rsid w:val="0065437D"/>
    <w:rsid w:val="006550DC"/>
    <w:rsid w:val="006562F4"/>
    <w:rsid w:val="0066085C"/>
    <w:rsid w:val="00660EB0"/>
    <w:rsid w:val="006613F6"/>
    <w:rsid w:val="00663981"/>
    <w:rsid w:val="00675DAF"/>
    <w:rsid w:val="00676FFB"/>
    <w:rsid w:val="00681239"/>
    <w:rsid w:val="006815C2"/>
    <w:rsid w:val="00681F4D"/>
    <w:rsid w:val="00682872"/>
    <w:rsid w:val="0068591E"/>
    <w:rsid w:val="006863D4"/>
    <w:rsid w:val="0068798E"/>
    <w:rsid w:val="00697D52"/>
    <w:rsid w:val="006A031F"/>
    <w:rsid w:val="006A1BEC"/>
    <w:rsid w:val="006B4217"/>
    <w:rsid w:val="006B4590"/>
    <w:rsid w:val="006B4A6E"/>
    <w:rsid w:val="006C06D9"/>
    <w:rsid w:val="006C1E07"/>
    <w:rsid w:val="006C2A29"/>
    <w:rsid w:val="006C2AD6"/>
    <w:rsid w:val="006C3548"/>
    <w:rsid w:val="006C3FB7"/>
    <w:rsid w:val="006D20B9"/>
    <w:rsid w:val="006D35EE"/>
    <w:rsid w:val="006D3F16"/>
    <w:rsid w:val="006F00DA"/>
    <w:rsid w:val="006F171E"/>
    <w:rsid w:val="006F19AA"/>
    <w:rsid w:val="006F5EB9"/>
    <w:rsid w:val="006F754C"/>
    <w:rsid w:val="00700089"/>
    <w:rsid w:val="00705106"/>
    <w:rsid w:val="007115CD"/>
    <w:rsid w:val="00711CFF"/>
    <w:rsid w:val="00712CBA"/>
    <w:rsid w:val="007156A1"/>
    <w:rsid w:val="00716A58"/>
    <w:rsid w:val="00716EAB"/>
    <w:rsid w:val="007211F1"/>
    <w:rsid w:val="007219AA"/>
    <w:rsid w:val="007219E7"/>
    <w:rsid w:val="007272DD"/>
    <w:rsid w:val="0073083B"/>
    <w:rsid w:val="00742511"/>
    <w:rsid w:val="00742948"/>
    <w:rsid w:val="007448ED"/>
    <w:rsid w:val="0074502D"/>
    <w:rsid w:val="00745039"/>
    <w:rsid w:val="00745CC0"/>
    <w:rsid w:val="007537B9"/>
    <w:rsid w:val="0075657D"/>
    <w:rsid w:val="00756B91"/>
    <w:rsid w:val="00762074"/>
    <w:rsid w:val="00763C63"/>
    <w:rsid w:val="0076628C"/>
    <w:rsid w:val="007744F8"/>
    <w:rsid w:val="00775069"/>
    <w:rsid w:val="0077528A"/>
    <w:rsid w:val="00775FCC"/>
    <w:rsid w:val="00777142"/>
    <w:rsid w:val="00777AAD"/>
    <w:rsid w:val="0078038A"/>
    <w:rsid w:val="0078064A"/>
    <w:rsid w:val="00781EE8"/>
    <w:rsid w:val="00783CD7"/>
    <w:rsid w:val="00790CD9"/>
    <w:rsid w:val="00795910"/>
    <w:rsid w:val="007960A9"/>
    <w:rsid w:val="00796F64"/>
    <w:rsid w:val="007A1034"/>
    <w:rsid w:val="007A2B0B"/>
    <w:rsid w:val="007A6607"/>
    <w:rsid w:val="007A7A5B"/>
    <w:rsid w:val="007B15E9"/>
    <w:rsid w:val="007B2AFE"/>
    <w:rsid w:val="007B5B29"/>
    <w:rsid w:val="007B745F"/>
    <w:rsid w:val="007C1DEA"/>
    <w:rsid w:val="007C25E1"/>
    <w:rsid w:val="007C5CBA"/>
    <w:rsid w:val="007C7212"/>
    <w:rsid w:val="007D0A02"/>
    <w:rsid w:val="007D533D"/>
    <w:rsid w:val="007E3125"/>
    <w:rsid w:val="007E6D25"/>
    <w:rsid w:val="007F2F9D"/>
    <w:rsid w:val="007F3013"/>
    <w:rsid w:val="007F5D84"/>
    <w:rsid w:val="007F5FA7"/>
    <w:rsid w:val="007F659F"/>
    <w:rsid w:val="00800BAB"/>
    <w:rsid w:val="008025BD"/>
    <w:rsid w:val="00802BA1"/>
    <w:rsid w:val="00807985"/>
    <w:rsid w:val="00811F57"/>
    <w:rsid w:val="00815A45"/>
    <w:rsid w:val="008210D4"/>
    <w:rsid w:val="00821B47"/>
    <w:rsid w:val="0082705F"/>
    <w:rsid w:val="00827E60"/>
    <w:rsid w:val="00830A9B"/>
    <w:rsid w:val="008315A4"/>
    <w:rsid w:val="008359A8"/>
    <w:rsid w:val="00836F18"/>
    <w:rsid w:val="00837687"/>
    <w:rsid w:val="008414EC"/>
    <w:rsid w:val="00842C75"/>
    <w:rsid w:val="008469F8"/>
    <w:rsid w:val="008501C4"/>
    <w:rsid w:val="0085161B"/>
    <w:rsid w:val="00851B04"/>
    <w:rsid w:val="00862CD0"/>
    <w:rsid w:val="00862D3E"/>
    <w:rsid w:val="00864CB3"/>
    <w:rsid w:val="00866560"/>
    <w:rsid w:val="00866B0C"/>
    <w:rsid w:val="00870566"/>
    <w:rsid w:val="00870DC6"/>
    <w:rsid w:val="0087184A"/>
    <w:rsid w:val="00874611"/>
    <w:rsid w:val="00875D86"/>
    <w:rsid w:val="008765D1"/>
    <w:rsid w:val="00876AB6"/>
    <w:rsid w:val="00877C4D"/>
    <w:rsid w:val="00877FC8"/>
    <w:rsid w:val="00885D68"/>
    <w:rsid w:val="0089158E"/>
    <w:rsid w:val="00892334"/>
    <w:rsid w:val="00894405"/>
    <w:rsid w:val="00895C32"/>
    <w:rsid w:val="00896A98"/>
    <w:rsid w:val="008A0479"/>
    <w:rsid w:val="008A1FC0"/>
    <w:rsid w:val="008A58CF"/>
    <w:rsid w:val="008B0330"/>
    <w:rsid w:val="008B4363"/>
    <w:rsid w:val="008C0DCF"/>
    <w:rsid w:val="008C1386"/>
    <w:rsid w:val="008C225C"/>
    <w:rsid w:val="008C3294"/>
    <w:rsid w:val="008C39F5"/>
    <w:rsid w:val="008C510F"/>
    <w:rsid w:val="008D2BC4"/>
    <w:rsid w:val="008D30A1"/>
    <w:rsid w:val="008D59FA"/>
    <w:rsid w:val="008E1703"/>
    <w:rsid w:val="008E3598"/>
    <w:rsid w:val="008E7374"/>
    <w:rsid w:val="008F0D06"/>
    <w:rsid w:val="008F1342"/>
    <w:rsid w:val="008F2D83"/>
    <w:rsid w:val="008F668A"/>
    <w:rsid w:val="009019F0"/>
    <w:rsid w:val="00904E7C"/>
    <w:rsid w:val="009057A3"/>
    <w:rsid w:val="009101EA"/>
    <w:rsid w:val="009119B1"/>
    <w:rsid w:val="00914601"/>
    <w:rsid w:val="00914E05"/>
    <w:rsid w:val="009206DB"/>
    <w:rsid w:val="009212BB"/>
    <w:rsid w:val="009218B2"/>
    <w:rsid w:val="00921A9C"/>
    <w:rsid w:val="00922008"/>
    <w:rsid w:val="009241C4"/>
    <w:rsid w:val="00924CC6"/>
    <w:rsid w:val="0092511D"/>
    <w:rsid w:val="00927607"/>
    <w:rsid w:val="00934752"/>
    <w:rsid w:val="009348A4"/>
    <w:rsid w:val="0093610C"/>
    <w:rsid w:val="0094112D"/>
    <w:rsid w:val="00941150"/>
    <w:rsid w:val="00941B19"/>
    <w:rsid w:val="009429AC"/>
    <w:rsid w:val="00944D73"/>
    <w:rsid w:val="009456A7"/>
    <w:rsid w:val="00950B31"/>
    <w:rsid w:val="009511C6"/>
    <w:rsid w:val="00952ED2"/>
    <w:rsid w:val="0096324D"/>
    <w:rsid w:val="00972555"/>
    <w:rsid w:val="009745FC"/>
    <w:rsid w:val="00980C27"/>
    <w:rsid w:val="00983E5B"/>
    <w:rsid w:val="0098471E"/>
    <w:rsid w:val="0098547C"/>
    <w:rsid w:val="00991A3D"/>
    <w:rsid w:val="00993EBB"/>
    <w:rsid w:val="00994887"/>
    <w:rsid w:val="009A35F9"/>
    <w:rsid w:val="009A7F58"/>
    <w:rsid w:val="009B0D0E"/>
    <w:rsid w:val="009B1370"/>
    <w:rsid w:val="009B1F3D"/>
    <w:rsid w:val="009B2C77"/>
    <w:rsid w:val="009B41F9"/>
    <w:rsid w:val="009B6003"/>
    <w:rsid w:val="009B70F1"/>
    <w:rsid w:val="009C1B01"/>
    <w:rsid w:val="009C1EB8"/>
    <w:rsid w:val="009C4F29"/>
    <w:rsid w:val="009D07E2"/>
    <w:rsid w:val="009D1D50"/>
    <w:rsid w:val="009D247E"/>
    <w:rsid w:val="009E1F6B"/>
    <w:rsid w:val="009E257B"/>
    <w:rsid w:val="009E469D"/>
    <w:rsid w:val="009E489A"/>
    <w:rsid w:val="009E4B8B"/>
    <w:rsid w:val="009E5B38"/>
    <w:rsid w:val="009E5FCE"/>
    <w:rsid w:val="009E61EF"/>
    <w:rsid w:val="009E7604"/>
    <w:rsid w:val="009F1063"/>
    <w:rsid w:val="009F2133"/>
    <w:rsid w:val="00A007EA"/>
    <w:rsid w:val="00A00960"/>
    <w:rsid w:val="00A05613"/>
    <w:rsid w:val="00A06888"/>
    <w:rsid w:val="00A069F7"/>
    <w:rsid w:val="00A10E27"/>
    <w:rsid w:val="00A21157"/>
    <w:rsid w:val="00A21CEB"/>
    <w:rsid w:val="00A2320A"/>
    <w:rsid w:val="00A275F5"/>
    <w:rsid w:val="00A2780A"/>
    <w:rsid w:val="00A30484"/>
    <w:rsid w:val="00A30858"/>
    <w:rsid w:val="00A404FB"/>
    <w:rsid w:val="00A41599"/>
    <w:rsid w:val="00A4173F"/>
    <w:rsid w:val="00A432F4"/>
    <w:rsid w:val="00A46208"/>
    <w:rsid w:val="00A472F1"/>
    <w:rsid w:val="00A51E84"/>
    <w:rsid w:val="00A56554"/>
    <w:rsid w:val="00A619CA"/>
    <w:rsid w:val="00A70056"/>
    <w:rsid w:val="00A73955"/>
    <w:rsid w:val="00A76E64"/>
    <w:rsid w:val="00A85470"/>
    <w:rsid w:val="00A86D93"/>
    <w:rsid w:val="00A95F11"/>
    <w:rsid w:val="00AA01EA"/>
    <w:rsid w:val="00AA31B6"/>
    <w:rsid w:val="00AA59CC"/>
    <w:rsid w:val="00AA75DC"/>
    <w:rsid w:val="00AB13F3"/>
    <w:rsid w:val="00AB5408"/>
    <w:rsid w:val="00AB5DB3"/>
    <w:rsid w:val="00AC1844"/>
    <w:rsid w:val="00AC1FEA"/>
    <w:rsid w:val="00AC3CDA"/>
    <w:rsid w:val="00AC7F30"/>
    <w:rsid w:val="00AD1454"/>
    <w:rsid w:val="00AD1B36"/>
    <w:rsid w:val="00AD3472"/>
    <w:rsid w:val="00AD5860"/>
    <w:rsid w:val="00AD6474"/>
    <w:rsid w:val="00AE0BA4"/>
    <w:rsid w:val="00AE133F"/>
    <w:rsid w:val="00AE2301"/>
    <w:rsid w:val="00AE46A7"/>
    <w:rsid w:val="00AE61A8"/>
    <w:rsid w:val="00AF3BD6"/>
    <w:rsid w:val="00AF4331"/>
    <w:rsid w:val="00AF5877"/>
    <w:rsid w:val="00AF7BE9"/>
    <w:rsid w:val="00B006FA"/>
    <w:rsid w:val="00B0080A"/>
    <w:rsid w:val="00B047EF"/>
    <w:rsid w:val="00B04D97"/>
    <w:rsid w:val="00B0522D"/>
    <w:rsid w:val="00B058D2"/>
    <w:rsid w:val="00B07EE3"/>
    <w:rsid w:val="00B10916"/>
    <w:rsid w:val="00B1358B"/>
    <w:rsid w:val="00B15794"/>
    <w:rsid w:val="00B15BD5"/>
    <w:rsid w:val="00B178AB"/>
    <w:rsid w:val="00B20371"/>
    <w:rsid w:val="00B21200"/>
    <w:rsid w:val="00B23B4A"/>
    <w:rsid w:val="00B27FFC"/>
    <w:rsid w:val="00B34C4A"/>
    <w:rsid w:val="00B378DF"/>
    <w:rsid w:val="00B37A5F"/>
    <w:rsid w:val="00B448C2"/>
    <w:rsid w:val="00B466F5"/>
    <w:rsid w:val="00B52D21"/>
    <w:rsid w:val="00B537F7"/>
    <w:rsid w:val="00B56379"/>
    <w:rsid w:val="00B602D3"/>
    <w:rsid w:val="00B603D8"/>
    <w:rsid w:val="00B64F37"/>
    <w:rsid w:val="00B8446A"/>
    <w:rsid w:val="00B86548"/>
    <w:rsid w:val="00B908CD"/>
    <w:rsid w:val="00B93702"/>
    <w:rsid w:val="00BA3935"/>
    <w:rsid w:val="00BA4BCC"/>
    <w:rsid w:val="00BA6007"/>
    <w:rsid w:val="00BB037F"/>
    <w:rsid w:val="00BB046D"/>
    <w:rsid w:val="00BB497D"/>
    <w:rsid w:val="00BB5B18"/>
    <w:rsid w:val="00BB7B67"/>
    <w:rsid w:val="00BC41CE"/>
    <w:rsid w:val="00BC43B8"/>
    <w:rsid w:val="00BC5D8A"/>
    <w:rsid w:val="00BC7A69"/>
    <w:rsid w:val="00BD21CF"/>
    <w:rsid w:val="00BD31A5"/>
    <w:rsid w:val="00BD4B27"/>
    <w:rsid w:val="00BD7440"/>
    <w:rsid w:val="00BE4E82"/>
    <w:rsid w:val="00BF19D0"/>
    <w:rsid w:val="00BF4132"/>
    <w:rsid w:val="00BF6ABB"/>
    <w:rsid w:val="00BF6CDC"/>
    <w:rsid w:val="00C000DE"/>
    <w:rsid w:val="00C00772"/>
    <w:rsid w:val="00C00B00"/>
    <w:rsid w:val="00C01132"/>
    <w:rsid w:val="00C12975"/>
    <w:rsid w:val="00C1363C"/>
    <w:rsid w:val="00C14B9D"/>
    <w:rsid w:val="00C14DA0"/>
    <w:rsid w:val="00C22B61"/>
    <w:rsid w:val="00C23679"/>
    <w:rsid w:val="00C25C74"/>
    <w:rsid w:val="00C26469"/>
    <w:rsid w:val="00C300B6"/>
    <w:rsid w:val="00C350C6"/>
    <w:rsid w:val="00C37243"/>
    <w:rsid w:val="00C4343E"/>
    <w:rsid w:val="00C4390D"/>
    <w:rsid w:val="00C441C2"/>
    <w:rsid w:val="00C44E45"/>
    <w:rsid w:val="00C45D01"/>
    <w:rsid w:val="00C521BF"/>
    <w:rsid w:val="00C526D0"/>
    <w:rsid w:val="00C540CC"/>
    <w:rsid w:val="00C54D1E"/>
    <w:rsid w:val="00C551DB"/>
    <w:rsid w:val="00C56C18"/>
    <w:rsid w:val="00C61E59"/>
    <w:rsid w:val="00C62B31"/>
    <w:rsid w:val="00C63EE1"/>
    <w:rsid w:val="00C64D85"/>
    <w:rsid w:val="00C71847"/>
    <w:rsid w:val="00C71E53"/>
    <w:rsid w:val="00C7534E"/>
    <w:rsid w:val="00C75FA1"/>
    <w:rsid w:val="00C825FF"/>
    <w:rsid w:val="00C82A55"/>
    <w:rsid w:val="00C915A9"/>
    <w:rsid w:val="00C948B3"/>
    <w:rsid w:val="00C9547F"/>
    <w:rsid w:val="00CA1AAB"/>
    <w:rsid w:val="00CA21C3"/>
    <w:rsid w:val="00CA292F"/>
    <w:rsid w:val="00CA5F49"/>
    <w:rsid w:val="00CA6126"/>
    <w:rsid w:val="00CA67B5"/>
    <w:rsid w:val="00CB3582"/>
    <w:rsid w:val="00CB5782"/>
    <w:rsid w:val="00CB75A2"/>
    <w:rsid w:val="00CC4774"/>
    <w:rsid w:val="00CC5863"/>
    <w:rsid w:val="00CC7B51"/>
    <w:rsid w:val="00CD33A3"/>
    <w:rsid w:val="00CD7C19"/>
    <w:rsid w:val="00CE2B6F"/>
    <w:rsid w:val="00CE389E"/>
    <w:rsid w:val="00CF36D9"/>
    <w:rsid w:val="00CF7721"/>
    <w:rsid w:val="00D0130F"/>
    <w:rsid w:val="00D03C6C"/>
    <w:rsid w:val="00D1069B"/>
    <w:rsid w:val="00D10A7E"/>
    <w:rsid w:val="00D1178D"/>
    <w:rsid w:val="00D2787D"/>
    <w:rsid w:val="00D35F48"/>
    <w:rsid w:val="00D43099"/>
    <w:rsid w:val="00D4407F"/>
    <w:rsid w:val="00D476A7"/>
    <w:rsid w:val="00D50502"/>
    <w:rsid w:val="00D506AA"/>
    <w:rsid w:val="00D52A18"/>
    <w:rsid w:val="00D530DB"/>
    <w:rsid w:val="00D54529"/>
    <w:rsid w:val="00D54DE9"/>
    <w:rsid w:val="00D60AE4"/>
    <w:rsid w:val="00D61FAD"/>
    <w:rsid w:val="00D63C80"/>
    <w:rsid w:val="00D74896"/>
    <w:rsid w:val="00D7595C"/>
    <w:rsid w:val="00D76E64"/>
    <w:rsid w:val="00D806E3"/>
    <w:rsid w:val="00D806ED"/>
    <w:rsid w:val="00D80BCE"/>
    <w:rsid w:val="00D83323"/>
    <w:rsid w:val="00D90640"/>
    <w:rsid w:val="00D92E1C"/>
    <w:rsid w:val="00D93158"/>
    <w:rsid w:val="00D9646A"/>
    <w:rsid w:val="00DA19E8"/>
    <w:rsid w:val="00DA2F2C"/>
    <w:rsid w:val="00DA4736"/>
    <w:rsid w:val="00DA4D85"/>
    <w:rsid w:val="00DA5356"/>
    <w:rsid w:val="00DA75CB"/>
    <w:rsid w:val="00DB1361"/>
    <w:rsid w:val="00DB4775"/>
    <w:rsid w:val="00DB597E"/>
    <w:rsid w:val="00DC44AB"/>
    <w:rsid w:val="00DC73E0"/>
    <w:rsid w:val="00DD1E3E"/>
    <w:rsid w:val="00DD759B"/>
    <w:rsid w:val="00DE08BD"/>
    <w:rsid w:val="00DE0D8A"/>
    <w:rsid w:val="00DE128F"/>
    <w:rsid w:val="00DE5711"/>
    <w:rsid w:val="00DE6C1A"/>
    <w:rsid w:val="00DE7633"/>
    <w:rsid w:val="00DF114D"/>
    <w:rsid w:val="00DF3901"/>
    <w:rsid w:val="00DF398F"/>
    <w:rsid w:val="00DF4976"/>
    <w:rsid w:val="00E007EB"/>
    <w:rsid w:val="00E011A2"/>
    <w:rsid w:val="00E01237"/>
    <w:rsid w:val="00E07427"/>
    <w:rsid w:val="00E1029A"/>
    <w:rsid w:val="00E2241D"/>
    <w:rsid w:val="00E247A2"/>
    <w:rsid w:val="00E26F36"/>
    <w:rsid w:val="00E26F47"/>
    <w:rsid w:val="00E3167C"/>
    <w:rsid w:val="00E33B40"/>
    <w:rsid w:val="00E43E20"/>
    <w:rsid w:val="00E5234F"/>
    <w:rsid w:val="00E54161"/>
    <w:rsid w:val="00E60B9A"/>
    <w:rsid w:val="00E61550"/>
    <w:rsid w:val="00E61A1F"/>
    <w:rsid w:val="00E62FD5"/>
    <w:rsid w:val="00E662C1"/>
    <w:rsid w:val="00E7324B"/>
    <w:rsid w:val="00E7605B"/>
    <w:rsid w:val="00E760C3"/>
    <w:rsid w:val="00E764CE"/>
    <w:rsid w:val="00E76862"/>
    <w:rsid w:val="00E83952"/>
    <w:rsid w:val="00E84612"/>
    <w:rsid w:val="00E900C0"/>
    <w:rsid w:val="00E946DD"/>
    <w:rsid w:val="00E95195"/>
    <w:rsid w:val="00EA0B45"/>
    <w:rsid w:val="00EA3128"/>
    <w:rsid w:val="00EA3AFB"/>
    <w:rsid w:val="00EA3EA0"/>
    <w:rsid w:val="00EB16DF"/>
    <w:rsid w:val="00EB1B97"/>
    <w:rsid w:val="00EB3AC5"/>
    <w:rsid w:val="00EC2801"/>
    <w:rsid w:val="00EC3364"/>
    <w:rsid w:val="00EC4334"/>
    <w:rsid w:val="00EC4462"/>
    <w:rsid w:val="00EC477E"/>
    <w:rsid w:val="00EC68CF"/>
    <w:rsid w:val="00EC6AB9"/>
    <w:rsid w:val="00ED04E6"/>
    <w:rsid w:val="00ED08D5"/>
    <w:rsid w:val="00ED3A0C"/>
    <w:rsid w:val="00ED3A96"/>
    <w:rsid w:val="00ED66B4"/>
    <w:rsid w:val="00EE08D0"/>
    <w:rsid w:val="00EE2A7D"/>
    <w:rsid w:val="00EE4763"/>
    <w:rsid w:val="00EE4A42"/>
    <w:rsid w:val="00EF11F7"/>
    <w:rsid w:val="00EF1B6E"/>
    <w:rsid w:val="00EF2CAD"/>
    <w:rsid w:val="00EF3FAA"/>
    <w:rsid w:val="00EF466D"/>
    <w:rsid w:val="00EF7249"/>
    <w:rsid w:val="00EF791B"/>
    <w:rsid w:val="00F019D7"/>
    <w:rsid w:val="00F0772D"/>
    <w:rsid w:val="00F116F9"/>
    <w:rsid w:val="00F16B8E"/>
    <w:rsid w:val="00F17DAE"/>
    <w:rsid w:val="00F20864"/>
    <w:rsid w:val="00F2750E"/>
    <w:rsid w:val="00F31C0A"/>
    <w:rsid w:val="00F321E3"/>
    <w:rsid w:val="00F33893"/>
    <w:rsid w:val="00F36777"/>
    <w:rsid w:val="00F412AB"/>
    <w:rsid w:val="00F42CBC"/>
    <w:rsid w:val="00F445DE"/>
    <w:rsid w:val="00F45284"/>
    <w:rsid w:val="00F51B32"/>
    <w:rsid w:val="00F52737"/>
    <w:rsid w:val="00F52B32"/>
    <w:rsid w:val="00F52F4B"/>
    <w:rsid w:val="00F533D9"/>
    <w:rsid w:val="00F55A41"/>
    <w:rsid w:val="00F61034"/>
    <w:rsid w:val="00F613F5"/>
    <w:rsid w:val="00F6427F"/>
    <w:rsid w:val="00F6618A"/>
    <w:rsid w:val="00F70BF1"/>
    <w:rsid w:val="00F7266D"/>
    <w:rsid w:val="00F72E68"/>
    <w:rsid w:val="00F73521"/>
    <w:rsid w:val="00F73C01"/>
    <w:rsid w:val="00F75972"/>
    <w:rsid w:val="00F850CB"/>
    <w:rsid w:val="00F85A3F"/>
    <w:rsid w:val="00F86F9B"/>
    <w:rsid w:val="00F9049D"/>
    <w:rsid w:val="00F90B31"/>
    <w:rsid w:val="00F93261"/>
    <w:rsid w:val="00F9767C"/>
    <w:rsid w:val="00FA1C7A"/>
    <w:rsid w:val="00FA2F77"/>
    <w:rsid w:val="00FA3072"/>
    <w:rsid w:val="00FA613F"/>
    <w:rsid w:val="00FA6B0E"/>
    <w:rsid w:val="00FA7FC0"/>
    <w:rsid w:val="00FB032D"/>
    <w:rsid w:val="00FB3970"/>
    <w:rsid w:val="00FB41FC"/>
    <w:rsid w:val="00FB4B3C"/>
    <w:rsid w:val="00FB51B1"/>
    <w:rsid w:val="00FC012B"/>
    <w:rsid w:val="00FC0EF6"/>
    <w:rsid w:val="00FC2260"/>
    <w:rsid w:val="00FC2BF2"/>
    <w:rsid w:val="00FC361F"/>
    <w:rsid w:val="00FC7FCE"/>
    <w:rsid w:val="00FD56FA"/>
    <w:rsid w:val="00FD726A"/>
    <w:rsid w:val="00FE0A30"/>
    <w:rsid w:val="00FE0CF5"/>
    <w:rsid w:val="00FF0AEA"/>
    <w:rsid w:val="00FF251C"/>
    <w:rsid w:val="00FF44A9"/>
    <w:rsid w:val="00FF4678"/>
    <w:rsid w:val="00FF5278"/>
    <w:rsid w:val="00FF5636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  <w:style w:type="table" w:customStyle="1" w:styleId="TableGrid">
    <w:name w:val="TableGrid"/>
    <w:rsid w:val="003F290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s-list-item">
    <w:name w:val="authors-list-item"/>
    <w:basedOn w:val="a0"/>
    <w:rsid w:val="0016755C"/>
  </w:style>
  <w:style w:type="character" w:customStyle="1" w:styleId="comma">
    <w:name w:val="comma"/>
    <w:basedOn w:val="a0"/>
    <w:rsid w:val="0016755C"/>
  </w:style>
  <w:style w:type="character" w:customStyle="1" w:styleId="js-article-title">
    <w:name w:val="js-article-title"/>
    <w:basedOn w:val="a0"/>
    <w:rsid w:val="00DA19E8"/>
  </w:style>
  <w:style w:type="character" w:customStyle="1" w:styleId="highlight2">
    <w:name w:val="highlight2"/>
    <w:basedOn w:val="a0"/>
    <w:rsid w:val="0024589B"/>
  </w:style>
  <w:style w:type="character" w:customStyle="1" w:styleId="apple-converted-space">
    <w:name w:val="apple-converted-space"/>
    <w:basedOn w:val="a0"/>
    <w:rsid w:val="0024589B"/>
  </w:style>
  <w:style w:type="table" w:styleId="af2">
    <w:name w:val="Table Grid"/>
    <w:basedOn w:val="a1"/>
    <w:uiPriority w:val="59"/>
    <w:rsid w:val="0024589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  <w:style w:type="table" w:customStyle="1" w:styleId="TableGrid">
    <w:name w:val="TableGrid"/>
    <w:rsid w:val="003F290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s-list-item">
    <w:name w:val="authors-list-item"/>
    <w:basedOn w:val="a0"/>
    <w:rsid w:val="0016755C"/>
  </w:style>
  <w:style w:type="character" w:customStyle="1" w:styleId="comma">
    <w:name w:val="comma"/>
    <w:basedOn w:val="a0"/>
    <w:rsid w:val="0016755C"/>
  </w:style>
  <w:style w:type="character" w:customStyle="1" w:styleId="js-article-title">
    <w:name w:val="js-article-title"/>
    <w:basedOn w:val="a0"/>
    <w:rsid w:val="00DA19E8"/>
  </w:style>
  <w:style w:type="character" w:customStyle="1" w:styleId="highlight2">
    <w:name w:val="highlight2"/>
    <w:basedOn w:val="a0"/>
    <w:rsid w:val="0024589B"/>
  </w:style>
  <w:style w:type="character" w:customStyle="1" w:styleId="apple-converted-space">
    <w:name w:val="apple-converted-space"/>
    <w:basedOn w:val="a0"/>
    <w:rsid w:val="0024589B"/>
  </w:style>
  <w:style w:type="table" w:styleId="af2">
    <w:name w:val="Table Grid"/>
    <w:basedOn w:val="a1"/>
    <w:uiPriority w:val="59"/>
    <w:rsid w:val="0024589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https://www.ncbi.nlm.nih.gov/pubmed/?term=Intensified+Neoadjuvant+Chemoradiotherapy+for+Patients+with+Potentially+Resectable+Esophageal+Cancer%3A+A+Retrospective+Cohort+Study." TargetMode="External"/><Relationship Id="rId50" Type="http://schemas.openxmlformats.org/officeDocument/2006/relationships/hyperlink" Target="https://pubmed.ncbi.nlm.nih.gov/?term=Kissel+M&amp;cauthor_id=32444283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https://www.ncbi.nlm.nih.gov/pubmed/32160096" TargetMode="External"/><Relationship Id="rId10" Type="http://schemas.openxmlformats.org/officeDocument/2006/relationships/footer" Target="footer1.xm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https://doi.org/10.1245/s10434-019-08114-z" TargetMode="External"/><Relationship Id="rId8" Type="http://schemas.openxmlformats.org/officeDocument/2006/relationships/header" Target="header1.xml"/><Relationship Id="rId51" Type="http://schemas.openxmlformats.org/officeDocument/2006/relationships/header" Target="header4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B1D79-5A15-40A6-B301-1C114CCA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1766</Words>
  <Characters>10070</Characters>
  <Application>Microsoft Office Word</Application>
  <DocSecurity>0</DocSecurity>
  <Lines>83</Lines>
  <Paragraphs>23</Paragraphs>
  <ScaleCrop>false</ScaleCrop>
  <Company>cmch</Company>
  <LinksUpToDate>false</LinksUpToDate>
  <CharactersWithSpaces>11813</CharactersWithSpaces>
  <SharedDoc>false</SharedDoc>
  <HLinks>
    <vt:vector size="24" baseType="variant">
      <vt:variant>
        <vt:i4>3145838</vt:i4>
      </vt:variant>
      <vt:variant>
        <vt:i4>9</vt:i4>
      </vt:variant>
      <vt:variant>
        <vt:i4>0</vt:i4>
      </vt:variant>
      <vt:variant>
        <vt:i4>5</vt:i4>
      </vt:variant>
      <vt:variant>
        <vt:lpwstr>http://www.nsabp.pitt.edu/B-39.asp</vt:lpwstr>
      </vt:variant>
      <vt:variant>
        <vt:lpwstr/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http://www.rtog.org/ClinicalTrials/ProtocolTable/StudyDetails.aspx?study=1005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http://www.acr.org/SecondaryMainMenuCategories/quality_safety/app_criteria/pdf.aspx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http://www.nccn.org/professionals/physician_gls/PDF/breast.pdf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cancer</dc:title>
  <dc:creator>cmch</dc:creator>
  <cp:lastModifiedBy>user</cp:lastModifiedBy>
  <cp:revision>9</cp:revision>
  <cp:lastPrinted>2020-05-05T07:13:00Z</cp:lastPrinted>
  <dcterms:created xsi:type="dcterms:W3CDTF">2023-06-08T08:34:00Z</dcterms:created>
  <dcterms:modified xsi:type="dcterms:W3CDTF">2023-06-27T23:43:00Z</dcterms:modified>
</cp:coreProperties>
</file>